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1D1A73D"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167825" w:rsidRPr="003145FE">
        <w:rPr>
          <w:rFonts w:ascii="Arial" w:hAnsi="Arial" w:cs="Arial"/>
          <w:b/>
          <w:bCs/>
          <w:color w:val="auto"/>
          <w:sz w:val="28"/>
          <w:szCs w:val="28"/>
        </w:rPr>
        <w:t>7</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7F15850D"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18273C" w:rsidRPr="004B5430">
        <w:rPr>
          <w:rFonts w:ascii="Arial" w:hAnsi="Arial" w:cs="Arial"/>
          <w:color w:val="auto"/>
        </w:rPr>
        <w:t>2</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518A78E4"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r w:rsidR="008F24B1" w:rsidRPr="004B5430">
        <w:rPr>
          <w:rFonts w:ascii="Arial" w:hAnsi="Arial" w:cs="Arial"/>
          <w:color w:val="auto"/>
        </w:rPr>
        <w:t>Dz. U. z 2021 r. poz. 1129</w:t>
      </w:r>
      <w:r w:rsidR="00A35671" w:rsidRPr="004B5430">
        <w:rPr>
          <w:rFonts w:ascii="Arial" w:hAnsi="Arial" w:cs="Arial"/>
          <w:color w:val="auto"/>
        </w:rPr>
        <w:t xml:space="preserve">) – dalej p.z.p. – na </w:t>
      </w:r>
      <w:r w:rsidR="00B56A61" w:rsidRPr="004B5430">
        <w:rPr>
          <w:rFonts w:ascii="Arial" w:hAnsi="Arial" w:cs="Arial"/>
          <w:color w:val="auto"/>
        </w:rPr>
        <w:t>dostawę</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E36BF9" w:rsidRPr="004B5430">
        <w:rPr>
          <w:rFonts w:ascii="Arial" w:hAnsi="Arial" w:cs="Arial"/>
          <w:b/>
          <w:bCs/>
          <w:color w:val="auto"/>
        </w:rPr>
        <w:t>„</w:t>
      </w:r>
      <w:r w:rsidR="00C16DDD" w:rsidRPr="00C16DDD">
        <w:rPr>
          <w:rFonts w:ascii="Arial" w:hAnsi="Arial" w:cs="Arial"/>
          <w:b/>
          <w:bCs/>
          <w:color w:val="auto"/>
        </w:rPr>
        <w:t>Remont drogi powiatowej nr 2408C Niestronno – Mogilno na odcinku od Wieńca do Padniewka od km 4+400 do km 7+470 na długości 3,070 km</w:t>
      </w:r>
      <w:r w:rsidR="00E36BF9" w:rsidRPr="004B5430">
        <w:rPr>
          <w:rFonts w:ascii="Arial" w:hAnsi="Arial" w:cs="Arial"/>
          <w:b/>
          <w:bCs/>
          <w:color w:val="auto"/>
        </w:rPr>
        <w:t>”</w:t>
      </w:r>
      <w:r w:rsidR="00C16DDD">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lastRenderedPageBreak/>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35468ED1" w:rsidR="00132A5E" w:rsidRPr="00510918" w:rsidRDefault="003D582E" w:rsidP="00510918">
      <w:pPr>
        <w:widowControl w:val="0"/>
        <w:numPr>
          <w:ilvl w:val="3"/>
          <w:numId w:val="5"/>
        </w:numPr>
        <w:spacing w:line="360" w:lineRule="auto"/>
        <w:ind w:left="284" w:hanging="284"/>
        <w:jc w:val="left"/>
        <w:rPr>
          <w:rFonts w:ascii="Arial" w:hAnsi="Arial" w:cs="Arial"/>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E36BF9" w:rsidRPr="00510918">
        <w:rPr>
          <w:rFonts w:ascii="Arial" w:hAnsi="Arial" w:cs="Arial"/>
          <w:b/>
          <w:bCs/>
          <w:color w:val="auto"/>
        </w:rPr>
        <w:t>„</w:t>
      </w:r>
      <w:r w:rsidR="00510918" w:rsidRPr="00510918">
        <w:rPr>
          <w:rFonts w:ascii="Arial" w:hAnsi="Arial" w:cs="Arial"/>
          <w:b/>
          <w:bCs/>
          <w:color w:val="auto"/>
        </w:rPr>
        <w:t>Remont drogi powiatowej nr 2408C Niestronno – Mogilno na odcinku od Wieńca do Padniewka od km 4+400 do km 7+470 na długości 3,070 km</w:t>
      </w:r>
      <w:r w:rsidR="00E36BF9" w:rsidRPr="00510918">
        <w:rPr>
          <w:rFonts w:ascii="Arial" w:hAnsi="Arial" w:cs="Arial"/>
          <w:b/>
          <w:bCs/>
          <w:color w:val="auto"/>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585DC3BE" w:rsidR="00167825" w:rsidRPr="00A00418" w:rsidRDefault="002D6C90"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W</w:t>
      </w:r>
      <w:r w:rsidR="00687081" w:rsidRPr="00687081">
        <w:rPr>
          <w:rFonts w:ascii="Arial" w:hAnsi="Arial" w:cs="Arial"/>
          <w:color w:val="auto"/>
        </w:rPr>
        <w:t>ykonawca zobowiązuje się do wykonywania wszystkich zleconych przez Zamawiającego robót  według standardów podanych w dokumentach zawartych w</w:t>
      </w:r>
      <w:r w:rsidR="00687081">
        <w:rPr>
          <w:rFonts w:ascii="Arial" w:hAnsi="Arial" w:cs="Arial"/>
          <w:color w:val="auto"/>
        </w:rPr>
        <w:t> </w:t>
      </w:r>
      <w:r w:rsidR="00687081" w:rsidRPr="00687081">
        <w:rPr>
          <w:rFonts w:ascii="Arial" w:hAnsi="Arial" w:cs="Arial"/>
          <w:color w:val="auto"/>
        </w:rPr>
        <w:t xml:space="preserve">załączniku nr </w:t>
      </w:r>
      <w:r w:rsidR="007F07A4">
        <w:rPr>
          <w:rFonts w:ascii="Arial" w:hAnsi="Arial" w:cs="Arial"/>
          <w:color w:val="auto"/>
        </w:rPr>
        <w:t>4</w:t>
      </w:r>
      <w:r w:rsidR="00687081" w:rsidRPr="00687081">
        <w:rPr>
          <w:rFonts w:ascii="Arial" w:hAnsi="Arial" w:cs="Arial"/>
          <w:color w:val="auto"/>
        </w:rPr>
        <w:t xml:space="preserve"> do SWZ – Dokumentacja projektowa, stanowiących integralną część niniejszej umowy</w:t>
      </w:r>
      <w:r w:rsidRPr="00A00418">
        <w:rPr>
          <w:rFonts w:ascii="Arial" w:hAnsi="Arial" w:cs="Arial"/>
          <w:color w:val="auto"/>
        </w:rPr>
        <w:t>.</w:t>
      </w:r>
      <w:r w:rsidR="00167825" w:rsidRPr="00A00418">
        <w:rPr>
          <w:rFonts w:ascii="Arial" w:hAnsi="Arial" w:cs="Arial"/>
          <w:color w:val="auto"/>
        </w:rPr>
        <w:t xml:space="preserve"> </w:t>
      </w:r>
    </w:p>
    <w:p w14:paraId="3AC5610B" w14:textId="3F2E1B7B" w:rsidR="00167825" w:rsidRPr="00A00418" w:rsidRDefault="00BA6791"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A6791">
        <w:rPr>
          <w:rFonts w:ascii="Arial" w:hAnsi="Arial" w:cs="Arial"/>
          <w:color w:val="auto"/>
        </w:rPr>
        <w:t>Wykonawca uzgodni z Zamawiającym organizację placu budowy oraz odpowiednie oznakowanie terenu budowy</w:t>
      </w:r>
      <w:r w:rsidR="00167825" w:rsidRPr="00A00418">
        <w:rPr>
          <w:rFonts w:ascii="Arial" w:hAnsi="Arial" w:cs="Arial"/>
          <w:color w:val="auto"/>
        </w:rPr>
        <w:t>.</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4A608E3B"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32049B">
        <w:rPr>
          <w:color w:val="auto"/>
        </w:rPr>
        <w:t>3</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lastRenderedPageBreak/>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o pracę osób wykonujących czynności, których dotyczy wezwanie 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17D9EA6C" w14:textId="22A0CA77"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4D737C9D" w:rsidR="00BA5AA2"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dowodu potwierdzającego zgłoszenie pracownika przez pracodawcę do ubezpieczeń</w:t>
      </w:r>
      <w:r w:rsidRPr="00A00418">
        <w:rPr>
          <w:rFonts w:ascii="Arial" w:hAnsi="Arial" w:cs="Arial"/>
          <w:color w:val="auto"/>
        </w:rPr>
        <w:t xml:space="preserve">, zanonimizowaną w sposób zapewniający ochronę danych osobowych pracowników, zgodnie z przepisami o ochronie danych osobowych, z zastrzeżeniem z § 2 ust. 2 pkt </w:t>
      </w:r>
      <w:r w:rsidR="0032049B">
        <w:rPr>
          <w:rFonts w:ascii="Arial" w:hAnsi="Arial" w:cs="Arial"/>
          <w:color w:val="auto"/>
        </w:rPr>
        <w:t>4</w:t>
      </w:r>
      <w:r w:rsidRPr="00A00418">
        <w:rPr>
          <w:rFonts w:ascii="Arial" w:hAnsi="Arial" w:cs="Arial"/>
          <w:color w:val="auto"/>
        </w:rPr>
        <w:t xml:space="preserve">) lit. </w:t>
      </w:r>
      <w:r w:rsidR="00FD3BCD" w:rsidRPr="00A00418">
        <w:rPr>
          <w:rFonts w:ascii="Arial" w:hAnsi="Arial" w:cs="Arial"/>
          <w:color w:val="auto"/>
        </w:rPr>
        <w:t>c</w:t>
      </w:r>
      <w:r w:rsidRPr="00A00418">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lastRenderedPageBreak/>
        <w:t>przy czym w przypadku uzasadnionych wątpliwości co do przestrzegania prawa pracy przez Wykonawcę lub podwykonawcę, Zamawiający może zwrócić się 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32049B">
      <w:pPr>
        <w:widowControl w:val="0"/>
        <w:numPr>
          <w:ilvl w:val="0"/>
          <w:numId w:val="43"/>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4D9B1105"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32049B">
        <w:rPr>
          <w:rFonts w:ascii="Arial" w:hAnsi="Arial" w:cs="Arial"/>
          <w:color w:val="auto"/>
        </w:rPr>
        <w:t>9</w:t>
      </w:r>
      <w:r w:rsidRPr="00BA6791">
        <w:rPr>
          <w:rFonts w:ascii="Arial" w:hAnsi="Arial" w:cs="Arial"/>
          <w:color w:val="auto"/>
        </w:rPr>
        <w:t xml:space="preserve"> realizowane będą przez Wykonawcę na jego koszt,</w:t>
      </w:r>
    </w:p>
    <w:p w14:paraId="728E1EF5"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Jeżeli w rezultacie przeprowadzania badań, okaże się, że zastosowane materiały, bądź wykonanie robót jest niezgodne z umową, to koszty badań dodatkowych obciążają Wykonawcę, w przypadku gdy wyniki wykażą, że </w:t>
      </w:r>
      <w:r w:rsidRPr="00BA6791">
        <w:rPr>
          <w:rFonts w:ascii="Arial" w:hAnsi="Arial" w:cs="Arial"/>
          <w:color w:val="auto"/>
        </w:rPr>
        <w:lastRenderedPageBreak/>
        <w:t>materiały, urządzenia bądź wykonane roboty są zgodne z umową, to koszty tych badań obciążają Zamawiającego,</w:t>
      </w:r>
    </w:p>
    <w:p w14:paraId="51468A19"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zapewnienia właściwych warunków składowania materiałów oraz ich ochronę,</w:t>
      </w:r>
    </w:p>
    <w:p w14:paraId="1A2CCCE8" w14:textId="58C89CFB"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(Dz.U. z 2021 r. poz. 779 z późn.zm.),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(t.j. Dz. U. z 2021 r. poz. 1973 z późn. zm.).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p>
    <w:p w14:paraId="62A3F49F" w14:textId="32112871" w:rsidR="00BA6791" w:rsidRPr="00A00418"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uporządkuje teren budowy po zakończeniu robót i przekaże go w</w:t>
      </w:r>
      <w:r w:rsidR="009313B3">
        <w:rPr>
          <w:rFonts w:ascii="Arial" w:hAnsi="Arial" w:cs="Arial"/>
          <w:color w:val="auto"/>
        </w:rPr>
        <w:t> </w:t>
      </w:r>
      <w:r w:rsidRPr="00BA6791">
        <w:rPr>
          <w:rFonts w:ascii="Arial" w:hAnsi="Arial" w:cs="Arial"/>
          <w:color w:val="auto"/>
        </w:rPr>
        <w:t>terminie ustalonym dla odbioru końcowego,</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 xml:space="preserve">Wykonawca jest odpowiedzialny za działania, uchybienia i zaniedbania </w:t>
      </w:r>
      <w:r w:rsidRPr="00A00418">
        <w:rPr>
          <w:rFonts w:ascii="Arial" w:hAnsi="Arial" w:cs="Arial"/>
          <w:color w:val="auto"/>
        </w:rPr>
        <w:lastRenderedPageBreak/>
        <w:t>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31E924CC" w:rsidR="00A12087" w:rsidRPr="00B758BE" w:rsidRDefault="00F56518" w:rsidP="00942B80">
      <w:pPr>
        <w:pStyle w:val="pkt"/>
        <w:spacing w:before="0" w:after="0" w:line="360" w:lineRule="auto"/>
        <w:ind w:left="426" w:firstLine="0"/>
        <w:jc w:val="left"/>
        <w:rPr>
          <w:rFonts w:ascii="Arial" w:hAnsi="Arial" w:cs="Arial"/>
          <w:szCs w:val="24"/>
        </w:rPr>
      </w:pPr>
      <w:r w:rsidRPr="00B758BE">
        <w:rPr>
          <w:rFonts w:ascii="Arial" w:hAnsi="Arial" w:cs="Arial"/>
          <w:szCs w:val="24"/>
        </w:rPr>
        <w:t xml:space="preserve">Termin wykonania </w:t>
      </w:r>
      <w:r w:rsidR="004E020E" w:rsidRPr="00B758BE">
        <w:rPr>
          <w:rFonts w:ascii="Arial" w:hAnsi="Arial" w:cs="Arial"/>
          <w:szCs w:val="24"/>
        </w:rPr>
        <w:t>robót</w:t>
      </w:r>
      <w:r w:rsidRPr="00B758BE">
        <w:rPr>
          <w:rFonts w:ascii="Arial" w:hAnsi="Arial" w:cs="Arial"/>
          <w:szCs w:val="24"/>
        </w:rPr>
        <w:t xml:space="preserve">: </w:t>
      </w:r>
      <w:r w:rsidR="00334C48">
        <w:rPr>
          <w:rFonts w:ascii="Arial" w:hAnsi="Arial" w:cs="Arial"/>
          <w:szCs w:val="24"/>
        </w:rPr>
        <w:t>4</w:t>
      </w:r>
      <w:r w:rsidRPr="00B758BE">
        <w:rPr>
          <w:rFonts w:ascii="Arial" w:hAnsi="Arial" w:cs="Arial"/>
          <w:szCs w:val="24"/>
        </w:rPr>
        <w:t xml:space="preserve"> </w:t>
      </w:r>
      <w:r w:rsidR="0010419E" w:rsidRPr="00B758BE">
        <w:rPr>
          <w:rFonts w:ascii="Arial" w:hAnsi="Arial" w:cs="Arial"/>
          <w:szCs w:val="24"/>
        </w:rPr>
        <w:t>miesi</w:t>
      </w:r>
      <w:r w:rsidR="00E36BF9" w:rsidRPr="00B758BE">
        <w:rPr>
          <w:rFonts w:ascii="Arial" w:hAnsi="Arial" w:cs="Arial"/>
          <w:szCs w:val="24"/>
        </w:rPr>
        <w:t>ęcy</w:t>
      </w:r>
      <w:r w:rsidR="00123B51" w:rsidRPr="00B758BE">
        <w:rPr>
          <w:rFonts w:ascii="Arial" w:hAnsi="Arial" w:cs="Arial"/>
          <w:szCs w:val="24"/>
        </w:rPr>
        <w:t xml:space="preserve"> </w:t>
      </w:r>
      <w:r w:rsidR="00B42A5F" w:rsidRPr="00B758BE">
        <w:rPr>
          <w:rFonts w:ascii="Arial" w:hAnsi="Arial" w:cs="Arial"/>
          <w:szCs w:val="24"/>
        </w:rPr>
        <w:t>od dnia podpisania umowy</w:t>
      </w:r>
      <w:r w:rsidRPr="00B758BE">
        <w:rPr>
          <w:rFonts w:ascii="Arial" w:hAnsi="Arial" w:cs="Arial"/>
          <w:szCs w:val="24"/>
        </w:rPr>
        <w:t>.</w:t>
      </w:r>
    </w:p>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Pr="00942B80">
        <w:rPr>
          <w:rFonts w:ascii="Arial" w:hAnsi="Arial" w:cs="Arial"/>
          <w:color w:val="auto"/>
        </w:rPr>
        <w:t xml:space="preserve"> </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Strony postanawiają, że termin usunięcia przez Wykonawcę wad stwierdzonych przy </w:t>
      </w:r>
      <w:r w:rsidRPr="00942B80">
        <w:rPr>
          <w:rFonts w:ascii="Arial" w:hAnsi="Arial" w:cs="Arial"/>
          <w:color w:val="auto"/>
        </w:rPr>
        <w:lastRenderedPageBreak/>
        <w:t>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7D23745C" w14:textId="77777777"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w:t>
      </w:r>
      <w:r w:rsidR="000A6020" w:rsidRPr="005465DF">
        <w:rPr>
          <w:rFonts w:ascii="Arial" w:hAnsi="Arial" w:cs="Arial"/>
          <w:bCs/>
          <w:color w:val="auto"/>
        </w:rPr>
        <w:lastRenderedPageBreak/>
        <w:t>Zamawiającego bezusterkowego odbioru robót.</w:t>
      </w:r>
      <w:r w:rsidRPr="005465DF">
        <w:rPr>
          <w:rFonts w:ascii="Arial" w:hAnsi="Arial" w:cs="Arial"/>
          <w:bCs/>
          <w:color w:val="auto"/>
        </w:rPr>
        <w:t xml:space="preserve"> </w:t>
      </w:r>
    </w:p>
    <w:p w14:paraId="5433F784" w14:textId="77777777"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bezusterkowego 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faktury.</w:t>
      </w:r>
    </w:p>
    <w:p w14:paraId="0FBAB8F1" w14:textId="7C4FA189"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zamówieniach publicznych, koncesjach na roboty budowlane lub usługi oraz partnerstwie publiczno-prywatnym (Dz. U. z 2018 r. poz. 2191 z późn. zm.).</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D589378"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r w:rsidR="00061E20" w:rsidRPr="005465DF">
        <w:rPr>
          <w:rFonts w:ascii="Arial" w:hAnsi="Arial" w:cs="Arial"/>
          <w:bCs/>
          <w:color w:val="auto"/>
        </w:rPr>
        <w:t>t.j. Dz. U. z 2021 r. poz. 685 z późn. zm.</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w:t>
      </w:r>
      <w:r w:rsidRPr="005465DF">
        <w:rPr>
          <w:rFonts w:ascii="Arial" w:hAnsi="Arial" w:cs="Arial"/>
          <w:bCs/>
          <w:color w:val="auto"/>
        </w:rPr>
        <w:lastRenderedPageBreak/>
        <w:t>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46EE6501"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86013A" w:rsidRPr="008D715D">
        <w:rPr>
          <w:rFonts w:ascii="Arial" w:hAnsi="Arial" w:cs="Arial"/>
          <w:b/>
          <w:bCs/>
          <w:color w:val="auto"/>
          <w:sz w:val="28"/>
          <w:szCs w:val="28"/>
        </w:rPr>
        <w:t>8</w:t>
      </w:r>
      <w:r w:rsidR="008D715D">
        <w:rPr>
          <w:rFonts w:ascii="Arial" w:hAnsi="Arial" w:cs="Arial"/>
          <w:b/>
          <w:bCs/>
          <w:color w:val="auto"/>
          <w:sz w:val="28"/>
          <w:szCs w:val="28"/>
        </w:rPr>
        <w:t xml:space="preserve"> </w:t>
      </w:r>
      <w:r w:rsidRPr="008D715D">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lastRenderedPageBreak/>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0,1% wynagrodzenia brutto określonego w § 6 ust. 1,</w:t>
      </w:r>
    </w:p>
    <w:p w14:paraId="3EBD8A64"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odstąpienia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11A1BD12"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p>
    <w:p w14:paraId="33FA0419" w14:textId="7B220BB3"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p>
    <w:p w14:paraId="59D55678" w14:textId="20AE8FF6"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32049B">
        <w:rPr>
          <w:rFonts w:ascii="Arial" w:hAnsi="Arial" w:cs="Arial"/>
          <w:bCs/>
          <w:color w:val="auto"/>
        </w:rPr>
        <w:t>3</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500,00 zł za każdy przypadek naruszenia. Niezłożenie 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 xml:space="preserve">spełnienia przez Wykonawcę lub </w:t>
      </w:r>
      <w:r w:rsidRPr="008D715D">
        <w:rPr>
          <w:rFonts w:ascii="Arial" w:hAnsi="Arial" w:cs="Arial"/>
          <w:bCs/>
          <w:color w:val="auto"/>
        </w:rPr>
        <w:lastRenderedPageBreak/>
        <w:t>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przysługuje także w przypadku ustalenia w wyniku kontroli 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32049B">
        <w:rPr>
          <w:rFonts w:ascii="Arial" w:hAnsi="Arial" w:cs="Arial"/>
          <w:bCs/>
          <w:color w:val="auto"/>
        </w:rPr>
        <w:t>3</w:t>
      </w:r>
      <w:r w:rsidRPr="008D715D">
        <w:rPr>
          <w:rFonts w:ascii="Arial" w:hAnsi="Arial" w:cs="Arial"/>
          <w:bCs/>
          <w:color w:val="auto"/>
        </w:rPr>
        <w:t xml:space="preserve"> umowy czynności.</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t>wystąpieniu oraz</w:t>
      </w:r>
      <w:r w:rsidRPr="00D52BD4">
        <w:rPr>
          <w:rFonts w:ascii="Arial" w:hAnsi="Arial" w:cs="Arial"/>
          <w:color w:val="auto"/>
        </w:rPr>
        <w:t xml:space="preserve"> ustaniu</w:t>
      </w:r>
      <w:r w:rsidR="007E0594" w:rsidRPr="00D52BD4">
        <w:rPr>
          <w:rFonts w:ascii="Arial" w:hAnsi="Arial" w:cs="Arial"/>
          <w:color w:val="auto"/>
        </w:rPr>
        <w:t>, pod rygorem utraty prawa powoływania się na okoliczność 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Zaistnienie siły wyższej powinno być udokumentowane przez Stronę powołującą się </w:t>
      </w:r>
      <w:r w:rsidRPr="00D52BD4">
        <w:rPr>
          <w:rFonts w:ascii="Arial" w:hAnsi="Arial" w:cs="Arial"/>
          <w:color w:val="auto"/>
        </w:rPr>
        <w:lastRenderedPageBreak/>
        <w:t>na nią.</w:t>
      </w:r>
    </w:p>
    <w:p w14:paraId="0191A667" w14:textId="41BEA5BA"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późn. zm.).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Zamawiający ma prawo dochodzić uprawnień z tytułu rękojmi za wady, niezależnie od </w:t>
      </w:r>
      <w:r w:rsidRPr="00D52BD4">
        <w:rPr>
          <w:rFonts w:ascii="Arial" w:hAnsi="Arial" w:cs="Arial"/>
          <w:color w:val="auto"/>
        </w:rPr>
        <w:lastRenderedPageBreak/>
        <w:t>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której przedmiotem są roboty budowlane wraz z częścią </w:t>
      </w:r>
      <w:r w:rsidRPr="00D52BD4">
        <w:rPr>
          <w:rFonts w:ascii="Arial" w:eastAsia="Times New Roman" w:hAnsi="Arial" w:cs="Arial"/>
          <w:color w:val="auto"/>
          <w:lang w:eastAsia="ar-SA"/>
        </w:rPr>
        <w:lastRenderedPageBreak/>
        <w:t>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Jeżeli Zamawiający w terminie 14 dni od przedstawienia przez Wykonawcę kompletu dokumentów, w tym projektu umowy z podwykonawcą lub projektu umowy </w:t>
      </w:r>
      <w:r w:rsidRPr="00D52BD4">
        <w:rPr>
          <w:rFonts w:ascii="Arial" w:eastAsia="Times New Roman" w:hAnsi="Arial" w:cs="Arial"/>
          <w:color w:val="auto"/>
          <w:lang w:eastAsia="ar-SA"/>
        </w:rPr>
        <w:lastRenderedPageBreak/>
        <w:t xml:space="preserve">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Wynagrodzenie dla podwykonawcy lub dalszego podwykonawcy musi być wynagrodzeniem ryczałtowym lub wynagrodzeniem kosztorysowym z określeniem </w:t>
      </w:r>
      <w:r w:rsidRPr="00D52BD4">
        <w:rPr>
          <w:rFonts w:ascii="Arial" w:eastAsia="Times New Roman" w:hAnsi="Arial" w:cs="Arial"/>
          <w:color w:val="auto"/>
          <w:lang w:eastAsia="ar-SA"/>
        </w:rPr>
        <w:lastRenderedPageBreak/>
        <w:t xml:space="preserve">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Jakiekolwiek wierzytelności przysługujące Wykonawcy (i odpowiednio podwykonawcy, dalszemu podwykonawcy) wobec podwykonawcy (i odpowiednio dalszych podwykonawców), w tym w szczególności wierzytelności z tytułu zabezpieczenia należytego wykonania umowy, muszą być wcześniej wymagalne </w:t>
      </w:r>
      <w:r w:rsidRPr="00D52BD4">
        <w:rPr>
          <w:rFonts w:ascii="Arial" w:eastAsia="Times New Roman" w:hAnsi="Arial" w:cs="Arial"/>
          <w:color w:val="auto"/>
          <w:lang w:eastAsia="ar-SA"/>
        </w:rPr>
        <w:lastRenderedPageBreak/>
        <w:t>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N</w:t>
      </w:r>
      <w:r w:rsidR="00C52806" w:rsidRPr="00D52BD4">
        <w:rPr>
          <w:rFonts w:ascii="Arial" w:eastAsia="Times New Roman" w:hAnsi="Arial" w:cs="Arial"/>
          <w:color w:val="auto"/>
          <w:lang w:eastAsia="ar-SA"/>
        </w:rPr>
        <w:t xml:space="preserve">a podwykonawcę i dalszego podwykonawcę musi zostać nałożony obowiązek przedkładania łącznie ze zgłoszeniem Zamawiającemu szczegółowego przedmiotu </w:t>
      </w:r>
      <w:r w:rsidR="00C52806" w:rsidRPr="00D52BD4">
        <w:rPr>
          <w:rFonts w:ascii="Arial" w:eastAsia="Times New Roman" w:hAnsi="Arial" w:cs="Arial"/>
          <w:color w:val="auto"/>
          <w:lang w:eastAsia="ar-SA"/>
        </w:rPr>
        <w:lastRenderedPageBreak/>
        <w:t>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8E19B2"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8E19B2">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lastRenderedPageBreak/>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2D7E76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290628">
        <w:rPr>
          <w:rFonts w:ascii="Arial" w:hAnsi="Arial" w:cs="Arial"/>
          <w:color w:val="auto"/>
        </w:rPr>
        <w:t>4</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122 ustawy 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r w:rsidR="0034049A" w:rsidRPr="008E19B2">
        <w:rPr>
          <w:rFonts w:ascii="Arial" w:hAnsi="Arial" w:cs="Arial"/>
          <w:color w:val="auto"/>
        </w:rPr>
        <w:t>,</w:t>
      </w:r>
    </w:p>
    <w:p w14:paraId="6E26AD50" w14:textId="6C83FFDD" w:rsidR="005D1FE2" w:rsidRPr="00C94AD4"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t>W pozostałych przypadkach przewidzianych w art. 456 ustawy z dnia 11 września 2019 roku Prawo zamówień publicznych.</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 xml:space="preserve">0 dni od powzięcia wiadomości, natomiast w przypadkach </w:t>
      </w:r>
      <w:r w:rsidRPr="008E19B2">
        <w:rPr>
          <w:rFonts w:ascii="Arial" w:hAnsi="Arial" w:cs="Arial"/>
          <w:color w:val="auto"/>
        </w:rPr>
        <w:lastRenderedPageBreak/>
        <w:t>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5BB554B6" w14:textId="1C07F02D" w:rsidR="009F7E81" w:rsidRPr="008E19B2" w:rsidRDefault="00571593" w:rsidP="008E19B2">
      <w:pPr>
        <w:numPr>
          <w:ilvl w:val="0"/>
          <w:numId w:val="14"/>
        </w:numPr>
        <w:tabs>
          <w:tab w:val="left" w:pos="426"/>
        </w:tabs>
        <w:spacing w:line="360" w:lineRule="auto"/>
        <w:ind w:left="284" w:hanging="284"/>
        <w:jc w:val="left"/>
        <w:rPr>
          <w:rFonts w:ascii="Arial" w:hAnsi="Arial" w:cs="Arial"/>
          <w:color w:val="auto"/>
        </w:rPr>
      </w:pPr>
      <w:r w:rsidRPr="008E19B2">
        <w:rPr>
          <w:rFonts w:ascii="Arial" w:hAnsi="Arial" w:cs="Arial"/>
          <w:color w:val="auto"/>
        </w:rPr>
        <w:t xml:space="preserve">Dopuszczalne jest </w:t>
      </w:r>
      <w:r w:rsidR="00DB2491" w:rsidRPr="008E19B2">
        <w:rPr>
          <w:rFonts w:ascii="Arial" w:hAnsi="Arial" w:cs="Arial"/>
          <w:color w:val="auto"/>
        </w:rPr>
        <w:t>dokonanie zmian umowy</w:t>
      </w:r>
      <w:r w:rsidR="00F36801" w:rsidRPr="008E19B2">
        <w:rPr>
          <w:rFonts w:ascii="Arial" w:hAnsi="Arial" w:cs="Arial"/>
          <w:color w:val="auto"/>
        </w:rPr>
        <w:t xml:space="preserve"> w przypadkach przewidzianych w art. 455 ustawy z dnia 11 września 2019 roku Prawo zamówień publicznych oraz </w:t>
      </w:r>
      <w:r w:rsidR="00DB2491" w:rsidRPr="008E19B2">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2AF9A788" w14:textId="5C485F53" w:rsidR="0091402D" w:rsidRPr="007B24C2" w:rsidRDefault="00D34AD2" w:rsidP="007B24C2">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lastRenderedPageBreak/>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 xml:space="preserve">interpretacji lub wykonania umowy, podejmą rokowania w celu polubownego rozstrzygnięcia takiego sporu. Jeżeli rokowania, o których mowa powyżej nie </w:t>
      </w:r>
      <w:r w:rsidRPr="007B24C2">
        <w:rPr>
          <w:rFonts w:ascii="Arial" w:hAnsi="Arial" w:cs="Arial"/>
          <w:color w:val="auto"/>
        </w:rPr>
        <w:lastRenderedPageBreak/>
        <w:t>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F6FB" w14:textId="77777777" w:rsidR="004977AF" w:rsidRDefault="004977AF">
      <w:r>
        <w:separator/>
      </w:r>
    </w:p>
  </w:endnote>
  <w:endnote w:type="continuationSeparator" w:id="0">
    <w:p w14:paraId="03ED63A6" w14:textId="77777777" w:rsidR="004977AF" w:rsidRDefault="004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BF3" w14:textId="77777777" w:rsidR="004977AF" w:rsidRDefault="004977AF">
      <w:r>
        <w:separator/>
      </w:r>
    </w:p>
  </w:footnote>
  <w:footnote w:type="continuationSeparator" w:id="0">
    <w:p w14:paraId="091C5BA4" w14:textId="77777777" w:rsidR="004977AF" w:rsidRDefault="0049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37A7A0DB"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4B5430">
      <w:rPr>
        <w:rFonts w:ascii="Arial" w:hAnsi="Arial"/>
        <w:b/>
      </w:rPr>
      <w:t>4</w:t>
    </w:r>
    <w:r w:rsidRPr="004B5430">
      <w:rPr>
        <w:rFonts w:ascii="Arial" w:hAnsi="Arial"/>
        <w:b/>
      </w:rPr>
      <w:t>.202</w:t>
    </w:r>
    <w:r w:rsidR="0018273C" w:rsidRPr="004B5430">
      <w:rPr>
        <w:rFonts w:ascii="Arial" w:hAnsi="Arial"/>
        <w:b/>
      </w:rPr>
      <w:t>2</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2"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5"/>
  </w:num>
  <w:num w:numId="2" w16cid:durableId="1016267921">
    <w:abstractNumId w:val="27"/>
  </w:num>
  <w:num w:numId="3" w16cid:durableId="194582024">
    <w:abstractNumId w:val="10"/>
  </w:num>
  <w:num w:numId="4" w16cid:durableId="168839228">
    <w:abstractNumId w:val="33"/>
  </w:num>
  <w:num w:numId="5" w16cid:durableId="583422186">
    <w:abstractNumId w:val="28"/>
  </w:num>
  <w:num w:numId="6" w16cid:durableId="663320214">
    <w:abstractNumId w:val="8"/>
  </w:num>
  <w:num w:numId="7" w16cid:durableId="2070348000">
    <w:abstractNumId w:val="29"/>
  </w:num>
  <w:num w:numId="8" w16cid:durableId="1535995119">
    <w:abstractNumId w:val="22"/>
  </w:num>
  <w:num w:numId="9" w16cid:durableId="852375477">
    <w:abstractNumId w:val="42"/>
  </w:num>
  <w:num w:numId="10" w16cid:durableId="1922442582">
    <w:abstractNumId w:val="18"/>
  </w:num>
  <w:num w:numId="11" w16cid:durableId="1205169960">
    <w:abstractNumId w:val="23"/>
  </w:num>
  <w:num w:numId="12" w16cid:durableId="1744792199">
    <w:abstractNumId w:val="20"/>
  </w:num>
  <w:num w:numId="13" w16cid:durableId="765925289">
    <w:abstractNumId w:val="32"/>
  </w:num>
  <w:num w:numId="14" w16cid:durableId="1199008405">
    <w:abstractNumId w:val="19"/>
  </w:num>
  <w:num w:numId="15" w16cid:durableId="74713331">
    <w:abstractNumId w:val="41"/>
  </w:num>
  <w:num w:numId="16" w16cid:durableId="91824971">
    <w:abstractNumId w:val="39"/>
  </w:num>
  <w:num w:numId="17" w16cid:durableId="50471637">
    <w:abstractNumId w:val="24"/>
  </w:num>
  <w:num w:numId="18" w16cid:durableId="1827281561">
    <w:abstractNumId w:val="14"/>
  </w:num>
  <w:num w:numId="19" w16cid:durableId="711223701">
    <w:abstractNumId w:val="40"/>
  </w:num>
  <w:num w:numId="20" w16cid:durableId="320813241">
    <w:abstractNumId w:val="31"/>
  </w:num>
  <w:num w:numId="21" w16cid:durableId="1200823936">
    <w:abstractNumId w:val="25"/>
  </w:num>
  <w:num w:numId="22" w16cid:durableId="224726896">
    <w:abstractNumId w:val="7"/>
  </w:num>
  <w:num w:numId="23" w16cid:durableId="630406045">
    <w:abstractNumId w:val="30"/>
  </w:num>
  <w:num w:numId="24" w16cid:durableId="345716523">
    <w:abstractNumId w:val="17"/>
  </w:num>
  <w:num w:numId="25" w16cid:durableId="1738043631">
    <w:abstractNumId w:val="26"/>
  </w:num>
  <w:num w:numId="26" w16cid:durableId="669872211">
    <w:abstractNumId w:val="37"/>
  </w:num>
  <w:num w:numId="27" w16cid:durableId="935164671">
    <w:abstractNumId w:val="43"/>
  </w:num>
  <w:num w:numId="28" w16cid:durableId="1790389083">
    <w:abstractNumId w:val="35"/>
  </w:num>
  <w:num w:numId="29" w16cid:durableId="123625012">
    <w:abstractNumId w:val="3"/>
  </w:num>
  <w:num w:numId="30" w16cid:durableId="1964728203">
    <w:abstractNumId w:val="1"/>
  </w:num>
  <w:num w:numId="31" w16cid:durableId="249971187">
    <w:abstractNumId w:val="12"/>
  </w:num>
  <w:num w:numId="32" w16cid:durableId="1336572806">
    <w:abstractNumId w:val="36"/>
  </w:num>
  <w:num w:numId="33" w16cid:durableId="753354424">
    <w:abstractNumId w:val="16"/>
  </w:num>
  <w:num w:numId="34" w16cid:durableId="266889970">
    <w:abstractNumId w:val="5"/>
  </w:num>
  <w:num w:numId="35" w16cid:durableId="1905068426">
    <w:abstractNumId w:val="21"/>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4"/>
  </w:num>
  <w:num w:numId="41" w16cid:durableId="1341809940">
    <w:abstractNumId w:val="6"/>
  </w:num>
  <w:num w:numId="42" w16cid:durableId="1132475784">
    <w:abstractNumId w:val="38"/>
  </w:num>
  <w:num w:numId="43" w16cid:durableId="10795985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504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2A62"/>
    <w:rsid w:val="00204351"/>
    <w:rsid w:val="0021337D"/>
    <w:rsid w:val="00213DF9"/>
    <w:rsid w:val="0022341F"/>
    <w:rsid w:val="0022508F"/>
    <w:rsid w:val="00235F8C"/>
    <w:rsid w:val="00247110"/>
    <w:rsid w:val="00251477"/>
    <w:rsid w:val="00261102"/>
    <w:rsid w:val="002650D2"/>
    <w:rsid w:val="00266EF3"/>
    <w:rsid w:val="00275B24"/>
    <w:rsid w:val="002825F9"/>
    <w:rsid w:val="00283EFB"/>
    <w:rsid w:val="0028499C"/>
    <w:rsid w:val="00284AD6"/>
    <w:rsid w:val="00285CF9"/>
    <w:rsid w:val="00290628"/>
    <w:rsid w:val="002919EC"/>
    <w:rsid w:val="00292838"/>
    <w:rsid w:val="00296F36"/>
    <w:rsid w:val="002A6F1A"/>
    <w:rsid w:val="002B186D"/>
    <w:rsid w:val="002C05F5"/>
    <w:rsid w:val="002C6A73"/>
    <w:rsid w:val="002C7D12"/>
    <w:rsid w:val="002D597D"/>
    <w:rsid w:val="002D6C90"/>
    <w:rsid w:val="002E542A"/>
    <w:rsid w:val="002E630E"/>
    <w:rsid w:val="003029CD"/>
    <w:rsid w:val="00303618"/>
    <w:rsid w:val="0031058F"/>
    <w:rsid w:val="003107BC"/>
    <w:rsid w:val="00311F6E"/>
    <w:rsid w:val="0031278A"/>
    <w:rsid w:val="003143B7"/>
    <w:rsid w:val="003145FE"/>
    <w:rsid w:val="0032049B"/>
    <w:rsid w:val="00320F31"/>
    <w:rsid w:val="00326102"/>
    <w:rsid w:val="0033212E"/>
    <w:rsid w:val="00332290"/>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6A2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5430"/>
    <w:rsid w:val="004C2BAD"/>
    <w:rsid w:val="004C3A2A"/>
    <w:rsid w:val="004D79E5"/>
    <w:rsid w:val="004E020E"/>
    <w:rsid w:val="004E6DE3"/>
    <w:rsid w:val="004E7911"/>
    <w:rsid w:val="004F44B6"/>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2535"/>
    <w:rsid w:val="007F2BC5"/>
    <w:rsid w:val="007F59B4"/>
    <w:rsid w:val="0080501C"/>
    <w:rsid w:val="008067E7"/>
    <w:rsid w:val="00812BFF"/>
    <w:rsid w:val="00813C7A"/>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85A"/>
    <w:rsid w:val="008C6CC7"/>
    <w:rsid w:val="008D715D"/>
    <w:rsid w:val="008D7A3E"/>
    <w:rsid w:val="008E1493"/>
    <w:rsid w:val="008E19B2"/>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52212"/>
    <w:rsid w:val="00A60EBE"/>
    <w:rsid w:val="00A61266"/>
    <w:rsid w:val="00A70F24"/>
    <w:rsid w:val="00A71525"/>
    <w:rsid w:val="00A74482"/>
    <w:rsid w:val="00A855E7"/>
    <w:rsid w:val="00A86226"/>
    <w:rsid w:val="00A87D8D"/>
    <w:rsid w:val="00A907F3"/>
    <w:rsid w:val="00A927AE"/>
    <w:rsid w:val="00A932DA"/>
    <w:rsid w:val="00AC0E5C"/>
    <w:rsid w:val="00AC660B"/>
    <w:rsid w:val="00AD327C"/>
    <w:rsid w:val="00AE265A"/>
    <w:rsid w:val="00AE5155"/>
    <w:rsid w:val="00AF1BDD"/>
    <w:rsid w:val="00AF1D0F"/>
    <w:rsid w:val="00AF6081"/>
    <w:rsid w:val="00AF60F0"/>
    <w:rsid w:val="00AF637A"/>
    <w:rsid w:val="00AF7030"/>
    <w:rsid w:val="00B0114A"/>
    <w:rsid w:val="00B02ADE"/>
    <w:rsid w:val="00B0465A"/>
    <w:rsid w:val="00B05136"/>
    <w:rsid w:val="00B07F03"/>
    <w:rsid w:val="00B103BF"/>
    <w:rsid w:val="00B15140"/>
    <w:rsid w:val="00B166BB"/>
    <w:rsid w:val="00B21B2A"/>
    <w:rsid w:val="00B233D7"/>
    <w:rsid w:val="00B25DCD"/>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F01AD"/>
    <w:rsid w:val="00BF11F6"/>
    <w:rsid w:val="00BF1849"/>
    <w:rsid w:val="00BF2B6D"/>
    <w:rsid w:val="00BF5551"/>
    <w:rsid w:val="00BF6244"/>
    <w:rsid w:val="00BF7B34"/>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34"/>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22</Pages>
  <Words>5748</Words>
  <Characters>32766</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15</cp:revision>
  <cp:lastPrinted>2022-03-09T12:21:00Z</cp:lastPrinted>
  <dcterms:created xsi:type="dcterms:W3CDTF">2021-06-02T08:55:00Z</dcterms:created>
  <dcterms:modified xsi:type="dcterms:W3CDTF">2022-04-15T09:08:00Z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