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78B5" w14:textId="2C3DE7DF" w:rsidR="00340F04" w:rsidRPr="00F34D84" w:rsidRDefault="00340F04" w:rsidP="00340F04">
      <w:pPr>
        <w:widowControl/>
        <w:shd w:val="clear" w:color="auto" w:fill="FFFFFF"/>
        <w:tabs>
          <w:tab w:val="left" w:pos="-180"/>
        </w:tabs>
        <w:autoSpaceDE/>
        <w:autoSpaceDN/>
        <w:adjustRightInd/>
        <w:ind w:left="540" w:hanging="540"/>
        <w:jc w:val="right"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</w:t>
      </w: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 nr </w:t>
      </w:r>
      <w:r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>b SWZ</w:t>
      </w:r>
    </w:p>
    <w:p w14:paraId="7C1B74BE" w14:textId="77777777" w:rsidR="00340F04" w:rsidRPr="007B33B6" w:rsidRDefault="00340F04" w:rsidP="00340F0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445A97AE" w14:textId="77777777" w:rsidR="00340F04" w:rsidRPr="007B33B6" w:rsidRDefault="00340F04" w:rsidP="00340F0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</w:p>
    <w:p w14:paraId="6279D563" w14:textId="464F04DC" w:rsidR="00340F04" w:rsidRPr="007B33B6" w:rsidRDefault="00340F04" w:rsidP="00340F0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.................................. dnia..................202</w:t>
      </w:r>
      <w:r w:rsidR="0053640F">
        <w:rPr>
          <w:rFonts w:eastAsia="Times New Roman"/>
          <w:color w:val="000000" w:themeColor="text1"/>
          <w:szCs w:val="24"/>
        </w:rPr>
        <w:t>2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  <w:r w:rsidR="0053640F">
        <w:rPr>
          <w:rFonts w:eastAsia="Times New Roman"/>
          <w:color w:val="000000" w:themeColor="text1"/>
          <w:szCs w:val="24"/>
        </w:rPr>
        <w:t>.</w:t>
      </w:r>
    </w:p>
    <w:p w14:paraId="76FC155F" w14:textId="77777777" w:rsidR="00340F04" w:rsidRPr="007B33B6" w:rsidRDefault="00340F04" w:rsidP="00340F04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3FCCD89F" w14:textId="278BCD55" w:rsidR="00340F04" w:rsidRPr="007B33B6" w:rsidRDefault="00340F04" w:rsidP="001D1101">
      <w:pPr>
        <w:keepNext/>
        <w:widowControl/>
        <w:overflowPunct w:val="0"/>
        <w:autoSpaceDE/>
        <w:autoSpaceDN/>
        <w:adjustRightInd/>
        <w:spacing w:line="240" w:lineRule="atLeast"/>
        <w:ind w:left="-540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309F1006" w14:textId="77777777" w:rsidR="00340F04" w:rsidRPr="007B33B6" w:rsidRDefault="00340F04" w:rsidP="001D1101">
      <w:pPr>
        <w:widowControl/>
        <w:autoSpaceDE/>
        <w:autoSpaceDN/>
        <w:adjustRightInd/>
        <w:jc w:val="center"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61367BDC" w14:textId="77777777" w:rsidR="00340F04" w:rsidRPr="007B33B6" w:rsidRDefault="00340F04" w:rsidP="00340F0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023AA448" w14:textId="6AFCDFAC" w:rsidR="00340F04" w:rsidRPr="007B33B6" w:rsidRDefault="00340F04" w:rsidP="00340F0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w sezonie  202</w:t>
      </w:r>
      <w:r w:rsidR="0053640F">
        <w:rPr>
          <w:rFonts w:eastAsia="Times New Roman"/>
          <w:b/>
          <w:bCs/>
          <w:color w:val="000000" w:themeColor="text1"/>
          <w:szCs w:val="24"/>
        </w:rPr>
        <w:t>2</w:t>
      </w:r>
      <w:r w:rsidRPr="007B33B6">
        <w:rPr>
          <w:rFonts w:eastAsia="Times New Roman"/>
          <w:b/>
          <w:bCs/>
          <w:color w:val="000000" w:themeColor="text1"/>
          <w:szCs w:val="24"/>
        </w:rPr>
        <w:t>/202</w:t>
      </w:r>
      <w:r w:rsidR="0053640F">
        <w:rPr>
          <w:rFonts w:eastAsia="Times New Roman"/>
          <w:b/>
          <w:bCs/>
          <w:color w:val="000000" w:themeColor="text1"/>
          <w:szCs w:val="24"/>
        </w:rPr>
        <w:t>3</w:t>
      </w:r>
      <w:r w:rsidRPr="007B33B6">
        <w:rPr>
          <w:rFonts w:eastAsia="Times New Roman"/>
          <w:b/>
          <w:bCs/>
          <w:color w:val="000000" w:themeColor="text1"/>
          <w:szCs w:val="24"/>
        </w:rPr>
        <w:t xml:space="preserve"> – część 2</w:t>
      </w:r>
    </w:p>
    <w:p w14:paraId="1EBD0D37" w14:textId="77777777" w:rsidR="00340F04" w:rsidRPr="007B33B6" w:rsidRDefault="00340F04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tbl>
      <w:tblPr>
        <w:tblW w:w="1351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  <w:gridCol w:w="1436"/>
        <w:gridCol w:w="1436"/>
        <w:gridCol w:w="1436"/>
      </w:tblGrid>
      <w:tr w:rsidR="001D1101" w:rsidRPr="007B33B6" w14:paraId="34BC777C" w14:textId="521387D9" w:rsidTr="001D1101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55B0AD2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5EFAE85" w14:textId="0AA22179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Wyszczególnieni</w:t>
            </w:r>
            <w:r w:rsidR="00514934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e</w:t>
            </w: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0707201A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73B9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0E6702C1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20E15E3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J. m.</w:t>
            </w:r>
          </w:p>
          <w:p w14:paraId="00E8FF83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059F04A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082601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Cena jedn. </w:t>
            </w:r>
          </w:p>
          <w:p w14:paraId="64AE685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netto </w:t>
            </w:r>
          </w:p>
          <w:p w14:paraId="11E60C2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6DFF2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33E1543B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Podatek VAT </w:t>
            </w:r>
          </w:p>
          <w:p w14:paraId="66691A9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E3E24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Cena jedn.</w:t>
            </w:r>
          </w:p>
          <w:p w14:paraId="2E12CDC3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 xml:space="preserve"> brutto </w:t>
            </w:r>
          </w:p>
          <w:p w14:paraId="226C6DC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(zł</w:t>
            </w:r>
            <w:r w:rsidRPr="007B33B6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5278" w14:textId="77777777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Planowana ilość</w:t>
            </w:r>
          </w:p>
          <w:p w14:paraId="524F6AA5" w14:textId="1FD9A07D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8C2F" w14:textId="77777777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netto oferty</w:t>
            </w:r>
          </w:p>
          <w:p w14:paraId="4BBB1B79" w14:textId="2C84F0CB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(5x8)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7032" w14:textId="77777777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brutto oferty</w:t>
            </w:r>
          </w:p>
          <w:p w14:paraId="6419E17F" w14:textId="0EDAD67B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(7x8)</w:t>
            </w:r>
          </w:p>
        </w:tc>
      </w:tr>
      <w:tr w:rsidR="001D1101" w:rsidRPr="007B33B6" w14:paraId="0D7426F4" w14:textId="4FECBE98" w:rsidTr="001D1101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D40A41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73E4E51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2F35AD8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394EC56C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1DF88E9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6383D05C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D438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858B7EB" w14:textId="7C62D585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0E947F07" w14:textId="76A63FEE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71D9DC0C" w14:textId="62EF8DF6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1D1101" w:rsidRPr="007B33B6" w14:paraId="1F733309" w14:textId="4DDBB484" w:rsidTr="001D1101">
        <w:trPr>
          <w:cantSplit/>
          <w:trHeight w:val="4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3C0705C1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74748FE8" w14:textId="77777777" w:rsidR="001D1101" w:rsidRPr="007B33B6" w:rsidRDefault="001D1101" w:rsidP="001D1101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1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36C1AC78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3F0254BB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7795B4E" w14:textId="6AE45068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65B0A33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14:paraId="447253B1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101778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60545CA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00A9050C" w14:textId="1B2603FD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6F334FB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1E85D55C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42B557C9" w14:textId="0F56DA28" w:rsidTr="001D1101">
        <w:trPr>
          <w:cantSplit/>
          <w:trHeight w:val="103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217994D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5050F61E" w14:textId="77777777" w:rsidR="001D1101" w:rsidRPr="007B33B6" w:rsidRDefault="001D1101" w:rsidP="001D1101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4CFEC533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64E0095F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1D4652C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C39EC6D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52FE837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9EC75EC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F74C6CE" w14:textId="5E648D89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3DFBD894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01B0767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9BD7EC2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5B4B5EB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0B3AFE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86FAE8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F87055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9E509C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1FBD8B2" w14:textId="1C73D0C9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5B4E5E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7E596F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15F2A6E2" w14:textId="0DDCF106" w:rsidTr="001D1101">
        <w:trPr>
          <w:cantSplit/>
          <w:trHeight w:val="5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1F585D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031CA8C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7D83B70D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411268FB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A524E4E" w14:textId="77C7380E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4293007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1C85D86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5CCCFD2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D4D9FA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017399C" w14:textId="221D7AA0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60A0BFC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A7A9532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541FAE15" w14:textId="1BBA600E" w:rsidTr="001D1101">
        <w:trPr>
          <w:cantSplit/>
          <w:trHeight w:val="3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8F8DE1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1E6C850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44381644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36BAF570" w14:textId="13CDE3EA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3D668F2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228E66E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C0E1A9C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803B819" w14:textId="5FF60A2A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1BA8E12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CE90D1A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65B4644E" w14:textId="63A859A3" w:rsidTr="001D1101">
        <w:trPr>
          <w:cantSplit/>
          <w:trHeight w:val="343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5E664C8B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1593667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52CD866A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31AA8566" w14:textId="7C4E7B89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75CC5B5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3BD8144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B8EF0A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C83AF16" w14:textId="7CF0D661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2E0B5E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1AF7A1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2092052F" w14:textId="33EBCB74" w:rsidTr="001D1101">
        <w:trPr>
          <w:cantSplit/>
          <w:trHeight w:val="227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5478F28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  <w:hideMark/>
          </w:tcPr>
          <w:p w14:paraId="3EFE12D8" w14:textId="77777777" w:rsidR="001D1101" w:rsidRPr="007B33B6" w:rsidRDefault="001D1101" w:rsidP="001D1101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hideMark/>
          </w:tcPr>
          <w:p w14:paraId="3425B978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2648F1A2" w14:textId="3ED22BE6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576AA0C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30A7C73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F9274A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7E8E7B8" w14:textId="3E5D415F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D0E821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0A19D1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5EEF02B4" w14:textId="03159644" w:rsidTr="001D1101">
        <w:trPr>
          <w:cantSplit/>
          <w:trHeight w:val="542"/>
        </w:trPr>
        <w:tc>
          <w:tcPr>
            <w:tcW w:w="535" w:type="dxa"/>
            <w:tcBorders>
              <w:left w:val="single" w:sz="6" w:space="0" w:color="auto"/>
            </w:tcBorders>
          </w:tcPr>
          <w:p w14:paraId="1CDD9FB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D45C9F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14:paraId="7961B3F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3441DD3A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5DD0D375" w14:textId="11B95404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2F4D241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D6E787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21085E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E3266AC" w14:textId="0939D095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E99C8A1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CB28183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640BCC69" w14:textId="371F3AD5" w:rsidTr="001D1101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247AE4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62F58912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009868FC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72003F2B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E845A99" w14:textId="51BFED0A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  <w:p w14:paraId="069455E9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026" w:type="dxa"/>
          </w:tcPr>
          <w:p w14:paraId="03B0733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23408E8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EA77A9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A171EF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420D8B7" w14:textId="55145AA9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B26CE6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ACA25A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1D1101" w:rsidRPr="007B33B6" w14:paraId="7EB02CCA" w14:textId="181373C1" w:rsidTr="001D1101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33ADBA8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2AD9937A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77FB7F44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064E4CA4" w14:textId="43B70ED4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04DEE9A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76B6566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C1C8F3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D4C5ECC" w14:textId="2039427E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5DD8DFA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F9C8FC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1D1101" w:rsidRPr="007B33B6" w14:paraId="1E9F96BD" w14:textId="04459F77" w:rsidTr="001D1101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47B33778" w14:textId="77777777" w:rsidR="001D1101" w:rsidRPr="007B33B6" w:rsidRDefault="001D1101" w:rsidP="001D1101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4163DAA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 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14:paraId="2EC6F269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214E6829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7FEA158" w14:textId="5D7C54FE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</w:tcPr>
          <w:p w14:paraId="5E808C8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049AFB0C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89DA81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346650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E035299" w14:textId="4FB8946B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084A48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BA8AD14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D2425E" w:rsidRPr="007B33B6" w14:paraId="77B496CC" w14:textId="77777777" w:rsidTr="001D1101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</w:tcPr>
          <w:p w14:paraId="470269EF" w14:textId="5138BE61" w:rsidR="00D2425E" w:rsidRPr="007B33B6" w:rsidRDefault="00D2425E" w:rsidP="001D1101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11.</w:t>
            </w:r>
          </w:p>
        </w:tc>
        <w:tc>
          <w:tcPr>
            <w:tcW w:w="3192" w:type="dxa"/>
            <w:tcBorders>
              <w:top w:val="nil"/>
            </w:tcBorders>
          </w:tcPr>
          <w:p w14:paraId="42A6E013" w14:textId="4FC9BC49" w:rsidR="00D2425E" w:rsidRPr="007B33B6" w:rsidRDefault="00D2425E" w:rsidP="001D1101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>
              <w:rPr>
                <w:rFonts w:eastAsia="MS Mincho"/>
                <w:color w:val="000000" w:themeColor="text1"/>
                <w:sz w:val="18"/>
                <w:szCs w:val="24"/>
              </w:rPr>
              <w:t>Pozimowe sprzątanie</w:t>
            </w:r>
          </w:p>
        </w:tc>
        <w:tc>
          <w:tcPr>
            <w:tcW w:w="1311" w:type="dxa"/>
            <w:tcBorders>
              <w:top w:val="nil"/>
            </w:tcBorders>
          </w:tcPr>
          <w:p w14:paraId="16EF021C" w14:textId="257B5230" w:rsidR="00D2425E" w:rsidRPr="007B33B6" w:rsidRDefault="00D2425E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6A30B167" w14:textId="0DA4ACEA" w:rsidR="00D2425E" w:rsidRPr="00D2425E" w:rsidRDefault="00D2425E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D2425E">
              <w:rPr>
                <w:rFonts w:eastAsia="Times New Roman"/>
                <w:color w:val="000000" w:themeColor="text1"/>
              </w:rPr>
              <w:t>m</w:t>
            </w:r>
            <w:r w:rsidRPr="00D2425E">
              <w:rPr>
                <w:rFonts w:eastAsia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026" w:type="dxa"/>
            <w:tcBorders>
              <w:bottom w:val="nil"/>
            </w:tcBorders>
          </w:tcPr>
          <w:p w14:paraId="6912B653" w14:textId="77777777" w:rsidR="00D2425E" w:rsidRPr="007B33B6" w:rsidRDefault="00D2425E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0DE97C4D" w14:textId="02BAC06A" w:rsidR="00D2425E" w:rsidRPr="007B33B6" w:rsidRDefault="00D2425E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15249E6" w14:textId="77777777" w:rsidR="00D2425E" w:rsidRPr="007B33B6" w:rsidRDefault="00D2425E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CE9D1AC" w14:textId="5C75A145" w:rsidR="00D2425E" w:rsidRDefault="00D2425E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D2425E">
              <w:rPr>
                <w:rFonts w:eastAsia="Times New Roman"/>
                <w:color w:val="000000" w:themeColor="text1"/>
                <w:szCs w:val="24"/>
              </w:rPr>
              <w:t>2222,5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11D9A84" w14:textId="77777777" w:rsidR="00D2425E" w:rsidRPr="007B33B6" w:rsidRDefault="00D2425E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7BD6410" w14:textId="77777777" w:rsidR="00D2425E" w:rsidRPr="007B33B6" w:rsidRDefault="00D2425E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1D1101" w:rsidRPr="007B33B6" w14:paraId="792C4D1C" w14:textId="7104B087" w:rsidTr="005E6AB2">
        <w:trPr>
          <w:trHeight w:val="660"/>
        </w:trPr>
        <w:tc>
          <w:tcPr>
            <w:tcW w:w="10646" w:type="dxa"/>
            <w:gridSpan w:val="8"/>
          </w:tcPr>
          <w:p w14:paraId="1AA404F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5BF52A32" w14:textId="3950F5A5" w:rsidR="001D1101" w:rsidRPr="007B33B6" w:rsidRDefault="001D1101" w:rsidP="0007142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436" w:type="dxa"/>
          </w:tcPr>
          <w:p w14:paraId="6760A371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16B19B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3972DC6" w14:textId="7AD6A32F" w:rsidR="00340F04" w:rsidRDefault="00340F04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73F43A1" w14:textId="71122D36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615D5385" w14:textId="545A0C87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D9F7083" w14:textId="08AC006C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4998F6DE" w14:textId="0C436F01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206305D" w14:textId="127A1FB4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721EED8A" w14:textId="77777777" w:rsidR="001D1101" w:rsidRPr="007B33B6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49C3CF7C" w14:textId="021DC9FE" w:rsidR="00340F04" w:rsidRPr="007B33B6" w:rsidRDefault="00340F04" w:rsidP="00340F0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77FB979E" w14:textId="77777777" w:rsidR="00340F04" w:rsidRPr="007B33B6" w:rsidRDefault="00340F04" w:rsidP="0053640F">
      <w:pPr>
        <w:widowControl/>
        <w:autoSpaceDE/>
        <w:autoSpaceDN/>
        <w:adjustRightInd/>
        <w:ind w:left="9000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09F484DC" w14:textId="77777777" w:rsidR="00340F04" w:rsidRPr="007B33B6" w:rsidRDefault="00340F04" w:rsidP="0053640F">
      <w:pPr>
        <w:widowControl/>
        <w:autoSpaceDE/>
        <w:autoSpaceDN/>
        <w:adjustRightInd/>
        <w:ind w:left="9000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0725812E" w14:textId="57A05418" w:rsidR="005910A4" w:rsidRPr="000159BF" w:rsidRDefault="00340F04" w:rsidP="0053640F">
      <w:pPr>
        <w:widowControl/>
        <w:autoSpaceDE/>
        <w:autoSpaceDN/>
        <w:adjustRightInd/>
        <w:ind w:left="9000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sectPr w:rsidR="005910A4" w:rsidRPr="000159BF" w:rsidSect="001D110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536A" w14:textId="77777777" w:rsidR="001449E1" w:rsidRDefault="001449E1" w:rsidP="000159BF">
      <w:r>
        <w:separator/>
      </w:r>
    </w:p>
  </w:endnote>
  <w:endnote w:type="continuationSeparator" w:id="0">
    <w:p w14:paraId="6DDA3E8F" w14:textId="77777777" w:rsidR="001449E1" w:rsidRDefault="001449E1" w:rsidP="0001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5474" w14:textId="77777777" w:rsidR="000159BF" w:rsidRPr="007B33B6" w:rsidRDefault="000159BF" w:rsidP="000159BF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57D5926C" w14:textId="2B03729C" w:rsidR="000159BF" w:rsidRPr="007B33B6" w:rsidRDefault="000159BF" w:rsidP="000159BF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</w:t>
    </w:r>
    <w:r w:rsidR="00E97219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375F207D" w14:textId="7E8CACBE" w:rsidR="000159BF" w:rsidRPr="00F34D84" w:rsidRDefault="000159BF" w:rsidP="000159BF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</w:t>
    </w:r>
    <w:proofErr w:type="spellStart"/>
    <w:r w:rsidRPr="007B33B6">
      <w:rPr>
        <w:rFonts w:eastAsia="Times New Roman"/>
        <w:color w:val="000000" w:themeColor="text1"/>
        <w:sz w:val="18"/>
        <w:szCs w:val="24"/>
      </w:rPr>
      <w:t>uszorstniajacego</w:t>
    </w:r>
    <w:proofErr w:type="spellEnd"/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  <w:p w14:paraId="32EFDD9C" w14:textId="77777777" w:rsidR="000159BF" w:rsidRDefault="00015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EC2D" w14:textId="77777777" w:rsidR="001449E1" w:rsidRDefault="001449E1" w:rsidP="000159BF">
      <w:r>
        <w:separator/>
      </w:r>
    </w:p>
  </w:footnote>
  <w:footnote w:type="continuationSeparator" w:id="0">
    <w:p w14:paraId="072CE120" w14:textId="77777777" w:rsidR="001449E1" w:rsidRDefault="001449E1" w:rsidP="0001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F5FF" w14:textId="768C028A" w:rsidR="009A7C49" w:rsidRDefault="001D1101" w:rsidP="001D1101">
    <w:pPr>
      <w:pStyle w:val="Nagwek"/>
      <w:jc w:val="right"/>
    </w:pPr>
    <w:bookmarkStart w:id="0" w:name="_Hlk84926600"/>
    <w:bookmarkStart w:id="1" w:name="_Hlk84926601"/>
    <w:r>
      <w:t>ZDP.11.272.</w:t>
    </w:r>
    <w:r w:rsidR="0053640F">
      <w:t>9</w:t>
    </w:r>
    <w:r>
      <w:t>.202</w:t>
    </w:r>
    <w:bookmarkEnd w:id="0"/>
    <w:bookmarkEnd w:id="1"/>
    <w:r w:rsidR="0053640F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3F"/>
    <w:rsid w:val="000159BF"/>
    <w:rsid w:val="00053D97"/>
    <w:rsid w:val="0007142C"/>
    <w:rsid w:val="000D6598"/>
    <w:rsid w:val="001449E1"/>
    <w:rsid w:val="001D1101"/>
    <w:rsid w:val="00340F04"/>
    <w:rsid w:val="004D76E8"/>
    <w:rsid w:val="00514934"/>
    <w:rsid w:val="0053640F"/>
    <w:rsid w:val="009A7C49"/>
    <w:rsid w:val="00B4106A"/>
    <w:rsid w:val="00CF580D"/>
    <w:rsid w:val="00D2425E"/>
    <w:rsid w:val="00D8683F"/>
    <w:rsid w:val="00E825A7"/>
    <w:rsid w:val="00E97219"/>
    <w:rsid w:val="00F7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8880"/>
  <w15:chartTrackingRefBased/>
  <w15:docId w15:val="{CAF2AFEC-67A4-4AFB-8A83-BA82D79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F031A-3C7C-4FA3-A82E-525E053E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11</cp:revision>
  <dcterms:created xsi:type="dcterms:W3CDTF">2021-10-06T11:31:00Z</dcterms:created>
  <dcterms:modified xsi:type="dcterms:W3CDTF">2022-10-18T07:03:00Z</dcterms:modified>
</cp:coreProperties>
</file>