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6196" w14:textId="44BFBCF8" w:rsidR="00B132FD" w:rsidRPr="002770C0" w:rsidRDefault="00B132FD" w:rsidP="002770C0">
      <w:pPr>
        <w:keepNext/>
        <w:shd w:val="clear" w:color="auto" w:fill="FFFFFF"/>
        <w:spacing w:before="209" w:line="360" w:lineRule="auto"/>
        <w:ind w:left="490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24"/>
          <w:szCs w:val="24"/>
          <w:u w:val="single"/>
          <w:lang w:eastAsia="hi-IN" w:bidi="hi-IN"/>
        </w:rPr>
      </w:pPr>
      <w:r w:rsidRPr="002770C0">
        <w:rPr>
          <w:rFonts w:eastAsia="Arial Unicode MS"/>
          <w:b/>
          <w:bCs/>
          <w:color w:val="000000" w:themeColor="text1"/>
          <w:spacing w:val="-1"/>
          <w:sz w:val="24"/>
          <w:szCs w:val="24"/>
          <w:u w:val="single"/>
        </w:rPr>
        <w:t xml:space="preserve">KOSZTORYS </w:t>
      </w:r>
    </w:p>
    <w:p w14:paraId="7ABA82EF" w14:textId="71364988" w:rsidR="00B132FD" w:rsidRPr="002770C0" w:rsidRDefault="00B132FD" w:rsidP="002770C0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2770C0">
        <w:rPr>
          <w:rFonts w:eastAsia="Calibri"/>
          <w:b/>
          <w:color w:val="000000" w:themeColor="text1"/>
          <w:sz w:val="24"/>
          <w:szCs w:val="24"/>
          <w:lang w:eastAsia="en-US"/>
        </w:rPr>
        <w:t>na wykonanie remontu cząstkowego naw</w:t>
      </w:r>
      <w:r w:rsidR="00D27231" w:rsidRPr="002770C0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ierzchni dróg powiatowych w </w:t>
      </w:r>
      <w:r w:rsidR="00146A1D" w:rsidRPr="002770C0">
        <w:rPr>
          <w:rFonts w:eastAsia="Calibri"/>
          <w:b/>
          <w:color w:val="000000" w:themeColor="text1"/>
          <w:sz w:val="24"/>
          <w:szCs w:val="24"/>
          <w:lang w:eastAsia="en-US"/>
        </w:rPr>
        <w:t>2023</w:t>
      </w:r>
      <w:r w:rsidRPr="002770C0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r.</w:t>
      </w:r>
    </w:p>
    <w:p w14:paraId="603E15F7" w14:textId="10A2B8F1" w:rsidR="00B132FD" w:rsidRPr="002770C0" w:rsidRDefault="00B132FD" w:rsidP="002770C0">
      <w:pPr>
        <w:spacing w:line="360" w:lineRule="auto"/>
        <w:ind w:left="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2770C0"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 xml:space="preserve">Część </w:t>
      </w:r>
      <w:r w:rsidR="00974EE6"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I</w:t>
      </w:r>
      <w:r w:rsidR="00416E74" w:rsidRPr="002770C0">
        <w:rPr>
          <w:rFonts w:eastAsia="Times New Roman"/>
          <w:b/>
          <w:bCs/>
          <w:color w:val="000000" w:themeColor="text1"/>
          <w:sz w:val="24"/>
          <w:szCs w:val="24"/>
        </w:rPr>
        <w:t xml:space="preserve">I </w:t>
      </w:r>
      <w:r w:rsidRPr="002770C0">
        <w:rPr>
          <w:rFonts w:eastAsia="Times New Roman"/>
          <w:b/>
          <w:bCs/>
          <w:color w:val="000000" w:themeColor="text1"/>
          <w:sz w:val="24"/>
          <w:szCs w:val="24"/>
        </w:rPr>
        <w:t>- remont cząstkowy grysem i emulsją asfaltową oraz mieszanką</w:t>
      </w:r>
    </w:p>
    <w:p w14:paraId="7613A446" w14:textId="460AE21E" w:rsidR="00B132FD" w:rsidRPr="002770C0" w:rsidRDefault="009F1B06" w:rsidP="002770C0">
      <w:pPr>
        <w:ind w:left="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2770C0">
        <w:rPr>
          <w:rFonts w:eastAsia="Times New Roman"/>
          <w:b/>
          <w:bCs/>
          <w:color w:val="000000" w:themeColor="text1"/>
          <w:sz w:val="24"/>
          <w:szCs w:val="24"/>
        </w:rPr>
        <w:t>mineralno–</w:t>
      </w:r>
      <w:r w:rsidR="00416E74" w:rsidRPr="002770C0">
        <w:rPr>
          <w:rFonts w:eastAsia="Times New Roman"/>
          <w:b/>
          <w:bCs/>
          <w:color w:val="000000" w:themeColor="text1"/>
          <w:sz w:val="24"/>
          <w:szCs w:val="24"/>
        </w:rPr>
        <w:t>asfaltową</w:t>
      </w:r>
      <w:r w:rsidR="00B132FD" w:rsidRPr="002770C0">
        <w:rPr>
          <w:rFonts w:eastAsia="Times New Roman"/>
          <w:b/>
          <w:bCs/>
          <w:color w:val="000000" w:themeColor="text1"/>
          <w:sz w:val="24"/>
          <w:szCs w:val="24"/>
        </w:rPr>
        <w:t xml:space="preserve"> na terenie gmin </w:t>
      </w:r>
      <w:r w:rsidR="00974EE6">
        <w:rPr>
          <w:rFonts w:eastAsia="Times New Roman"/>
          <w:b/>
          <w:bCs/>
          <w:color w:val="000000" w:themeColor="text1"/>
          <w:sz w:val="24"/>
          <w:szCs w:val="24"/>
        </w:rPr>
        <w:t>Strzeln</w:t>
      </w:r>
      <w:r w:rsidR="00B132FD" w:rsidRPr="002770C0">
        <w:rPr>
          <w:rFonts w:eastAsia="Times New Roman"/>
          <w:b/>
          <w:bCs/>
          <w:color w:val="000000" w:themeColor="text1"/>
          <w:sz w:val="24"/>
          <w:szCs w:val="24"/>
        </w:rPr>
        <w:t xml:space="preserve">o i </w:t>
      </w:r>
      <w:r w:rsidR="00974EE6">
        <w:rPr>
          <w:rFonts w:eastAsia="Times New Roman"/>
          <w:b/>
          <w:bCs/>
          <w:color w:val="000000" w:themeColor="text1"/>
          <w:sz w:val="24"/>
          <w:szCs w:val="24"/>
        </w:rPr>
        <w:t>Jeziora Wielkie</w:t>
      </w: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427"/>
        <w:gridCol w:w="3343"/>
        <w:gridCol w:w="855"/>
        <w:gridCol w:w="890"/>
        <w:gridCol w:w="1090"/>
        <w:gridCol w:w="1383"/>
      </w:tblGrid>
      <w:tr w:rsidR="00DB7A31" w:rsidRPr="002770C0" w14:paraId="6191B0C4" w14:textId="77777777" w:rsidTr="002770C0">
        <w:trPr>
          <w:trHeight w:val="4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123B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4491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Podstawa wyceny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2E11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Opis robót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0F48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Jedn.</w:t>
            </w:r>
          </w:p>
          <w:p w14:paraId="543FF89C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miary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6AC0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Ilość</w:t>
            </w:r>
          </w:p>
          <w:p w14:paraId="43D92376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jedn.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4C4A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Cena jedn.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BEB3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Wartość (PLN)</w:t>
            </w:r>
          </w:p>
        </w:tc>
      </w:tr>
      <w:tr w:rsidR="00DB7A31" w:rsidRPr="002770C0" w14:paraId="241FB723" w14:textId="77777777" w:rsidTr="002770C0">
        <w:trPr>
          <w:trHeight w:val="8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E3E" w14:textId="77777777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1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0A646443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867199C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64E4326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7372DB9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2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185F71C6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09C6FB4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C761DC4" w14:textId="77777777" w:rsidR="00B132FD" w:rsidRPr="002770C0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C75D8B9" w14:textId="77777777" w:rsidR="002770C0" w:rsidRDefault="002770C0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A60A5B8" w14:textId="128C53C1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3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78C2628D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544BABD7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760C313E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de-DE"/>
              </w:rPr>
            </w:pPr>
          </w:p>
          <w:p w14:paraId="59CDC845" w14:textId="77777777" w:rsidR="002770C0" w:rsidRDefault="002770C0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CCA0511" w14:textId="1838E59F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4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7D314C97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675440E1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649D3AD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de-DE"/>
              </w:rPr>
            </w:pPr>
          </w:p>
          <w:p w14:paraId="1EFC4C77" w14:textId="77777777" w:rsidR="002770C0" w:rsidRDefault="002770C0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794A68D0" w14:textId="4733882F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5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36A3F304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AAEB93E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C0562BB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65A9664A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9BC3386" w14:textId="77777777" w:rsidR="002770C0" w:rsidRDefault="002770C0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EC6143A" w14:textId="5645AAF4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6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0002CBC4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064FD7C0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014A769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73673377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592E5889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620766CB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50FF7095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C00" w14:textId="77777777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SST.05.03.17.14</w:t>
            </w:r>
          </w:p>
          <w:p w14:paraId="4E4E7A0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3AC838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615B20E3" w14:textId="77777777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SST.05.03.17.14</w:t>
            </w:r>
          </w:p>
          <w:p w14:paraId="000993D0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0A7842E5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508828A6" w14:textId="77777777" w:rsidR="002770C0" w:rsidRDefault="002770C0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B0321B1" w14:textId="4355E03C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SST.05.03.17.14</w:t>
            </w:r>
          </w:p>
          <w:p w14:paraId="323057F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03ABA8AD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0E240DFA" w14:textId="77777777" w:rsidR="002770C0" w:rsidRDefault="002770C0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5C6FC8B4" w14:textId="4008013B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SST.05.03.17.14</w:t>
            </w:r>
          </w:p>
          <w:p w14:paraId="477376A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39BFFFF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0EBEC260" w14:textId="77777777" w:rsidR="002770C0" w:rsidRDefault="002770C0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64BD555C" w14:textId="4688F228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SST.05.03.17.14</w:t>
            </w:r>
          </w:p>
          <w:p w14:paraId="4E808454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3617943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D75C4A6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DA53742" w14:textId="77777777" w:rsidR="002770C0" w:rsidRDefault="002770C0" w:rsidP="002770C0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C6291F1" w14:textId="500E3F74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  <w:t>SST.05.03.17.11</w:t>
            </w:r>
          </w:p>
          <w:p w14:paraId="2C859C26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1CC43BB1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F32BFA2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8EE6485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7C9324C5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3F68D55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1498C1C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CAE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Remont cząstkowy grysem bazaltowym i emulsją asfaltową - rakowiny </w:t>
            </w:r>
          </w:p>
          <w:p w14:paraId="0EA6C47C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CC7149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Remont cząstkowy grysem bazaltowym i emulsją</w:t>
            </w:r>
            <w:r w:rsidR="008F076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asfaltową przy głębokości wyboju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do 2 cm</w:t>
            </w:r>
          </w:p>
          <w:p w14:paraId="7422C5BF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509347B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Remont cząstkowy grysem bazaltowym i emulsją</w:t>
            </w:r>
            <w:r w:rsidR="008F076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asfaltową przy głębokości wyboju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do 3 cm</w:t>
            </w:r>
          </w:p>
          <w:p w14:paraId="7D2F5BE0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CE490B2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Remont cząstkowy grysem bazaltowym i emulsją</w:t>
            </w:r>
            <w:r w:rsidR="008F076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asfaltową przy głębokości wyboju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do 4 cm</w:t>
            </w:r>
          </w:p>
          <w:p w14:paraId="078FBAEF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0031421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Remont cząstkowy grysem bazaltowym i emulsją asfaltową przy głębokości wybo</w:t>
            </w:r>
            <w:r w:rsidR="008F076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ju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powyżej </w:t>
            </w:r>
          </w:p>
          <w:p w14:paraId="0127FD66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4 cm</w:t>
            </w:r>
          </w:p>
          <w:p w14:paraId="7630E980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4D7ABD39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Remont cząstkowy </w:t>
            </w:r>
            <w:r w:rsidR="009F1B06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nawierzchni mieszanką mineralno–</w:t>
            </w:r>
            <w:r w:rsidR="008F076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asfaltową ,  przy śr. gł. wyboju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4 cm, </w:t>
            </w:r>
          </w:p>
          <w:p w14:paraId="78BA2479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z wycięciem uszkodzonych miejsc piłą mechaniczną i zagęszczeniem mechanicznym remontowanych miejsc</w:t>
            </w:r>
          </w:p>
          <w:p w14:paraId="18161DF6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0E9" w14:textId="77777777" w:rsidR="00B132FD" w:rsidRPr="002770C0" w:rsidRDefault="00416E74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0EF148FD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89CA2E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1E305D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32179C" w14:textId="77777777" w:rsidR="00B132FD" w:rsidRPr="002770C0" w:rsidRDefault="00416E74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5FC07B82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4F2123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B71FAB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0A2A2C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46C8F4" w14:textId="54117033" w:rsidR="00B132FD" w:rsidRPr="002770C0" w:rsidRDefault="00416E74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0697E65A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6CB68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A33CD9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DFBEA6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622893" w14:textId="5D620828" w:rsidR="00B132FD" w:rsidRPr="002770C0" w:rsidRDefault="00416E74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06BB5DC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0974FB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D9AB48" w14:textId="77777777" w:rsidR="00B132FD" w:rsidRPr="002770C0" w:rsidRDefault="00B132FD" w:rsidP="007E20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533BC5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0F8CCACB" w14:textId="434800CB" w:rsidR="00B132FD" w:rsidRPr="002770C0" w:rsidRDefault="00416E74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en-GB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  <w:t>m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en-GB" w:eastAsia="en-US"/>
              </w:rPr>
              <w:t>2</w:t>
            </w:r>
          </w:p>
          <w:p w14:paraId="274C74D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3B2BEEB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1F71D7A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6D6B9841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53BCED59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658CDD11" w14:textId="77777777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  <w:t>ton</w:t>
            </w:r>
          </w:p>
          <w:p w14:paraId="6809BD8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58B9A509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28D" w14:textId="2BCB6D3A" w:rsidR="00B132FD" w:rsidRPr="002770C0" w:rsidRDefault="00974EE6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132F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</w:p>
          <w:p w14:paraId="21109F8F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C5FD9B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9ECFD0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975AB8" w14:textId="34CE171D" w:rsidR="00B132FD" w:rsidRPr="002770C0" w:rsidRDefault="00974EE6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2000</w:t>
            </w:r>
          </w:p>
          <w:p w14:paraId="13801DDD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0652AB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9E4A7A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C930CD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9C1ACA" w14:textId="1A05917A" w:rsidR="00B132FD" w:rsidRPr="002770C0" w:rsidRDefault="005256B7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74EE6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150</w:t>
            </w:r>
          </w:p>
          <w:p w14:paraId="64BC8382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0E010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4AF5A3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1636FA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BE449C" w14:textId="66A1B128" w:rsidR="00B132FD" w:rsidRPr="002770C0" w:rsidRDefault="005256B7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125</w:t>
            </w:r>
            <w:r w:rsidR="00B132F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14:paraId="1B5AD8B6" w14:textId="77777777" w:rsidR="00B132FD" w:rsidRPr="002770C0" w:rsidRDefault="00B132FD" w:rsidP="007E20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386EE6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032A8D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77BDF9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841127" w14:textId="249C660C" w:rsidR="00B132FD" w:rsidRPr="002770C0" w:rsidRDefault="00974EE6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750</w:t>
            </w:r>
          </w:p>
          <w:p w14:paraId="5C92EC45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7EEA83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F7561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AE9A8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6B15A4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BF4ADC" w14:textId="77777777" w:rsidR="00B132FD" w:rsidRPr="002770C0" w:rsidRDefault="00416E74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130</w:t>
            </w:r>
          </w:p>
          <w:p w14:paraId="7DA785D4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C600CA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914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E3E9FC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943A97" w14:textId="1A9803B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98AF16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81BEFA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884A73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49CD826" w14:textId="6F5E627B" w:rsidR="00B132FD" w:rsidRPr="002770C0" w:rsidRDefault="00B132FD" w:rsidP="002770C0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1CF064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3EE3D9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B7EC87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F9C018" w14:textId="5CD2A8D6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4B5CBD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31C0F6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C4726A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660635" w14:textId="15E87F01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08CD7D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BFEAA8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9A1C5B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3E8322" w14:textId="5FC8959B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399268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B27EB7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B411A3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158E47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00217E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11C799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2316D8" w14:textId="5833E535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346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C6273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DB73AD" w14:textId="2EFAD1EB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F16FA4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54BE7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1BDDE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1CDEBB" w14:textId="16FC04D9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99706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7A9375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77E080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EC3EAE" w14:textId="5B6B37C2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2D6B2F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75B8FA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460C90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5CBD91" w14:textId="6B0274A4" w:rsidR="00B132FD" w:rsidRPr="002770C0" w:rsidRDefault="00B132FD" w:rsidP="002770C0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E12191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D192D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FC044D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3DB38B" w14:textId="1CB94759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1DD6D4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C75C41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2B1044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1BD4D9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C161FF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D95353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5E48E9" w14:textId="6C95E87E" w:rsidR="00B132FD" w:rsidRPr="002770C0" w:rsidRDefault="00B132FD" w:rsidP="002770C0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A31" w:rsidRPr="002770C0" w14:paraId="0982A9BB" w14:textId="77777777" w:rsidTr="002770C0">
        <w:trPr>
          <w:cantSplit/>
          <w:trHeight w:val="348"/>
        </w:trPr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7ECC" w14:textId="77777777" w:rsidR="00B132FD" w:rsidRPr="002770C0" w:rsidRDefault="00B132FD" w:rsidP="008D185B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Razem wartość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414" w14:textId="4E051CA3" w:rsidR="00B132FD" w:rsidRPr="002770C0" w:rsidRDefault="00B132FD" w:rsidP="008D185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A31" w:rsidRPr="002770C0" w14:paraId="6F5E2C79" w14:textId="77777777" w:rsidTr="002770C0">
        <w:trPr>
          <w:cantSplit/>
          <w:trHeight w:val="349"/>
        </w:trPr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2526" w14:textId="77777777" w:rsidR="00B132FD" w:rsidRPr="002770C0" w:rsidRDefault="00B132FD" w:rsidP="008D185B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Podatek VAT 23 %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282E" w14:textId="2CD158B4" w:rsidR="00B132FD" w:rsidRPr="002770C0" w:rsidRDefault="00B132FD" w:rsidP="008D185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A31" w:rsidRPr="002770C0" w14:paraId="70A27D88" w14:textId="77777777" w:rsidTr="002770C0">
        <w:trPr>
          <w:cantSplit/>
          <w:trHeight w:val="352"/>
        </w:trPr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0DE7" w14:textId="77777777" w:rsidR="00B132FD" w:rsidRPr="002770C0" w:rsidRDefault="00B132FD" w:rsidP="008D185B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Łącznie wartość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18C7" w14:textId="7644AAB5" w:rsidR="00B132FD" w:rsidRPr="002770C0" w:rsidRDefault="00B132FD" w:rsidP="008D185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4B6B22F" w14:textId="77777777" w:rsidR="00B132FD" w:rsidRPr="002770C0" w:rsidRDefault="00B132FD" w:rsidP="00B132FD">
      <w:pPr>
        <w:rPr>
          <w:rFonts w:eastAsia="Times New Roman"/>
          <w:color w:val="000000" w:themeColor="text1"/>
          <w:sz w:val="24"/>
          <w:szCs w:val="24"/>
        </w:rPr>
      </w:pPr>
    </w:p>
    <w:p w14:paraId="0FDE7E95" w14:textId="77777777" w:rsidR="00B132FD" w:rsidRPr="002770C0" w:rsidRDefault="00B132FD" w:rsidP="00B132FD">
      <w:pPr>
        <w:rPr>
          <w:rFonts w:eastAsia="Times New Roman"/>
          <w:color w:val="000000" w:themeColor="text1"/>
          <w:sz w:val="24"/>
          <w:szCs w:val="24"/>
        </w:rPr>
      </w:pPr>
    </w:p>
    <w:p w14:paraId="65AAD4DF" w14:textId="77777777" w:rsidR="00B132FD" w:rsidRPr="002770C0" w:rsidRDefault="00B132FD" w:rsidP="00B132FD">
      <w:pPr>
        <w:rPr>
          <w:rFonts w:eastAsia="Times New Roman"/>
          <w:color w:val="000000" w:themeColor="text1"/>
          <w:sz w:val="24"/>
          <w:szCs w:val="24"/>
        </w:rPr>
      </w:pPr>
    </w:p>
    <w:p w14:paraId="65B5586F" w14:textId="77777777" w:rsidR="00D6353F" w:rsidRPr="002770C0" w:rsidRDefault="00D6353F" w:rsidP="00D6353F">
      <w:pPr>
        <w:rPr>
          <w:rFonts w:eastAsia="Times New Roman"/>
          <w:color w:val="000000" w:themeColor="text1"/>
          <w:sz w:val="24"/>
          <w:szCs w:val="24"/>
        </w:rPr>
      </w:pPr>
    </w:p>
    <w:p w14:paraId="790E89F7" w14:textId="77777777" w:rsidR="00D6353F" w:rsidRPr="002770C0" w:rsidRDefault="00D6353F" w:rsidP="00D6353F">
      <w:pPr>
        <w:rPr>
          <w:rFonts w:eastAsia="Times New Roman"/>
          <w:color w:val="000000" w:themeColor="text1"/>
          <w:sz w:val="24"/>
          <w:szCs w:val="24"/>
        </w:rPr>
      </w:pPr>
    </w:p>
    <w:p w14:paraId="3DCFBB4C" w14:textId="4BB4F8F2" w:rsidR="00B132FD" w:rsidRDefault="00D27231" w:rsidP="00D6353F">
      <w:pPr>
        <w:rPr>
          <w:rFonts w:eastAsia="Times New Roman"/>
          <w:color w:val="000000" w:themeColor="text1"/>
          <w:sz w:val="24"/>
          <w:szCs w:val="24"/>
        </w:rPr>
      </w:pPr>
      <w:r w:rsidRPr="002770C0">
        <w:rPr>
          <w:rFonts w:eastAsia="Times New Roman"/>
          <w:color w:val="000000" w:themeColor="text1"/>
          <w:sz w:val="24"/>
          <w:szCs w:val="24"/>
        </w:rPr>
        <w:t>Mogilno,</w:t>
      </w:r>
      <w:r w:rsidR="00146A1D" w:rsidRPr="002770C0">
        <w:rPr>
          <w:rFonts w:eastAsia="Times New Roman"/>
          <w:color w:val="000000" w:themeColor="text1"/>
          <w:sz w:val="24"/>
          <w:szCs w:val="24"/>
        </w:rPr>
        <w:t xml:space="preserve"> dnia</w:t>
      </w:r>
      <w:r w:rsidR="007425EF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132FD" w:rsidRPr="002770C0">
        <w:rPr>
          <w:rFonts w:eastAsia="Times New Roman"/>
          <w:color w:val="000000" w:themeColor="text1"/>
          <w:sz w:val="24"/>
          <w:szCs w:val="24"/>
        </w:rPr>
        <w:t>...............................</w:t>
      </w:r>
      <w:r w:rsidR="00D6353F" w:rsidRPr="002770C0">
        <w:rPr>
          <w:rFonts w:eastAsia="Times New Roman"/>
          <w:color w:val="000000" w:themeColor="text1"/>
          <w:sz w:val="24"/>
          <w:szCs w:val="24"/>
        </w:rPr>
        <w:t>...</w:t>
      </w:r>
      <w:r w:rsidR="007425EF">
        <w:rPr>
          <w:rFonts w:eastAsia="Times New Roman"/>
          <w:color w:val="000000" w:themeColor="text1"/>
          <w:sz w:val="24"/>
          <w:szCs w:val="24"/>
        </w:rPr>
        <w:tab/>
      </w:r>
      <w:r w:rsidR="007425EF">
        <w:rPr>
          <w:rFonts w:eastAsia="Times New Roman"/>
          <w:color w:val="000000" w:themeColor="text1"/>
          <w:sz w:val="24"/>
          <w:szCs w:val="24"/>
        </w:rPr>
        <w:tab/>
      </w:r>
      <w:r w:rsidR="007425EF">
        <w:rPr>
          <w:rFonts w:eastAsia="Times New Roman"/>
          <w:color w:val="000000" w:themeColor="text1"/>
          <w:sz w:val="24"/>
          <w:szCs w:val="24"/>
        </w:rPr>
        <w:tab/>
        <w:t>……………………………………</w:t>
      </w:r>
    </w:p>
    <w:p w14:paraId="78BF4350" w14:textId="77CB0D19" w:rsidR="007425EF" w:rsidRPr="002770C0" w:rsidRDefault="007425EF" w:rsidP="00D6353F">
      <w:p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  <w:t xml:space="preserve">           Podpis </w:t>
      </w:r>
    </w:p>
    <w:sectPr w:rsidR="007425EF" w:rsidRPr="002770C0" w:rsidSect="004D5A2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33F9" w14:textId="77777777" w:rsidR="002770C0" w:rsidRDefault="002770C0" w:rsidP="002770C0">
      <w:r>
        <w:separator/>
      </w:r>
    </w:p>
  </w:endnote>
  <w:endnote w:type="continuationSeparator" w:id="0">
    <w:p w14:paraId="759FD21A" w14:textId="77777777" w:rsidR="002770C0" w:rsidRDefault="002770C0" w:rsidP="0027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4A2D" w14:textId="77777777" w:rsidR="002770C0" w:rsidRDefault="002770C0" w:rsidP="002770C0">
      <w:r>
        <w:separator/>
      </w:r>
    </w:p>
  </w:footnote>
  <w:footnote w:type="continuationSeparator" w:id="0">
    <w:p w14:paraId="5236BE43" w14:textId="77777777" w:rsidR="002770C0" w:rsidRDefault="002770C0" w:rsidP="0027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4A76" w14:textId="292F24C7" w:rsidR="002770C0" w:rsidRDefault="002770C0" w:rsidP="002770C0">
    <w:pPr>
      <w:pStyle w:val="Nagwek"/>
      <w:jc w:val="right"/>
      <w:rPr>
        <w:sz w:val="24"/>
        <w:szCs w:val="24"/>
      </w:rPr>
    </w:pPr>
    <w:r>
      <w:rPr>
        <w:sz w:val="24"/>
        <w:szCs w:val="24"/>
      </w:rPr>
      <w:t>Załącznik nr 5</w:t>
    </w:r>
    <w:r w:rsidR="00974EE6">
      <w:rPr>
        <w:sz w:val="24"/>
        <w:szCs w:val="24"/>
      </w:rPr>
      <w:t>b</w:t>
    </w:r>
    <w:r>
      <w:rPr>
        <w:sz w:val="24"/>
        <w:szCs w:val="24"/>
      </w:rPr>
      <w:t xml:space="preserve"> do SWZ</w:t>
    </w:r>
  </w:p>
  <w:p w14:paraId="4B88005E" w14:textId="2AFDFA69" w:rsidR="002770C0" w:rsidRPr="002770C0" w:rsidRDefault="002770C0" w:rsidP="002770C0">
    <w:pPr>
      <w:pStyle w:val="Nagwek"/>
      <w:jc w:val="right"/>
      <w:rPr>
        <w:sz w:val="24"/>
        <w:szCs w:val="24"/>
      </w:rPr>
    </w:pPr>
    <w:r w:rsidRPr="002770C0">
      <w:rPr>
        <w:sz w:val="24"/>
        <w:szCs w:val="24"/>
      </w:rPr>
      <w:t>Nr postępowania: ZDP.11.272.3.2023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83496595">
    <w:abstractNumId w:val="0"/>
  </w:num>
  <w:num w:numId="2" w16cid:durableId="38032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421"/>
    <w:rsid w:val="000010EF"/>
    <w:rsid w:val="00024FBA"/>
    <w:rsid w:val="00080E02"/>
    <w:rsid w:val="00082B60"/>
    <w:rsid w:val="000A087F"/>
    <w:rsid w:val="000E0F1D"/>
    <w:rsid w:val="000E5729"/>
    <w:rsid w:val="0013139D"/>
    <w:rsid w:val="00146A1D"/>
    <w:rsid w:val="00170FD0"/>
    <w:rsid w:val="00196CA2"/>
    <w:rsid w:val="00227800"/>
    <w:rsid w:val="002468D1"/>
    <w:rsid w:val="002770C0"/>
    <w:rsid w:val="002971BC"/>
    <w:rsid w:val="002E4C97"/>
    <w:rsid w:val="002F0FCB"/>
    <w:rsid w:val="002F28A9"/>
    <w:rsid w:val="0033596E"/>
    <w:rsid w:val="00373CE5"/>
    <w:rsid w:val="00395110"/>
    <w:rsid w:val="003B6562"/>
    <w:rsid w:val="00416E74"/>
    <w:rsid w:val="004A74CC"/>
    <w:rsid w:val="005043D7"/>
    <w:rsid w:val="005256B7"/>
    <w:rsid w:val="005557C2"/>
    <w:rsid w:val="00557D8A"/>
    <w:rsid w:val="0056067A"/>
    <w:rsid w:val="005E5CC1"/>
    <w:rsid w:val="0061331E"/>
    <w:rsid w:val="006273C8"/>
    <w:rsid w:val="00667C2F"/>
    <w:rsid w:val="00676BE6"/>
    <w:rsid w:val="00680DDC"/>
    <w:rsid w:val="006C15ED"/>
    <w:rsid w:val="006C2741"/>
    <w:rsid w:val="006F071D"/>
    <w:rsid w:val="00711AE9"/>
    <w:rsid w:val="00716C4E"/>
    <w:rsid w:val="00726332"/>
    <w:rsid w:val="007425EF"/>
    <w:rsid w:val="00766031"/>
    <w:rsid w:val="00772B2F"/>
    <w:rsid w:val="00784399"/>
    <w:rsid w:val="0079149B"/>
    <w:rsid w:val="007A7CB2"/>
    <w:rsid w:val="007B05A9"/>
    <w:rsid w:val="007E2061"/>
    <w:rsid w:val="008430F0"/>
    <w:rsid w:val="008C660A"/>
    <w:rsid w:val="008D185B"/>
    <w:rsid w:val="008F076D"/>
    <w:rsid w:val="009417C9"/>
    <w:rsid w:val="00974EE6"/>
    <w:rsid w:val="00993421"/>
    <w:rsid w:val="009A4AF9"/>
    <w:rsid w:val="009A62CB"/>
    <w:rsid w:val="009C2DB2"/>
    <w:rsid w:val="009E4F4A"/>
    <w:rsid w:val="009F1B06"/>
    <w:rsid w:val="00A046D4"/>
    <w:rsid w:val="00A22274"/>
    <w:rsid w:val="00A405D6"/>
    <w:rsid w:val="00A60160"/>
    <w:rsid w:val="00A72991"/>
    <w:rsid w:val="00AE0241"/>
    <w:rsid w:val="00AE2762"/>
    <w:rsid w:val="00B132FD"/>
    <w:rsid w:val="00B259F8"/>
    <w:rsid w:val="00B36A96"/>
    <w:rsid w:val="00BD34A4"/>
    <w:rsid w:val="00BD6C96"/>
    <w:rsid w:val="00C5434C"/>
    <w:rsid w:val="00C63166"/>
    <w:rsid w:val="00CD723C"/>
    <w:rsid w:val="00D27231"/>
    <w:rsid w:val="00D6353F"/>
    <w:rsid w:val="00D819F6"/>
    <w:rsid w:val="00D91BE6"/>
    <w:rsid w:val="00DB7A31"/>
    <w:rsid w:val="00DC214F"/>
    <w:rsid w:val="00DC223C"/>
    <w:rsid w:val="00DD70C6"/>
    <w:rsid w:val="00DF250B"/>
    <w:rsid w:val="00E15F0F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5B4B"/>
  <w15:docId w15:val="{3319D976-868A-40D4-ABA6-B9A193C5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70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0C0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70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0C0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89AE-C920-4115-B002-CD143077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Jolanta Wolińska</cp:lastModifiedBy>
  <cp:revision>4</cp:revision>
  <cp:lastPrinted>2023-03-13T12:56:00Z</cp:lastPrinted>
  <dcterms:created xsi:type="dcterms:W3CDTF">2023-03-13T12:57:00Z</dcterms:created>
  <dcterms:modified xsi:type="dcterms:W3CDTF">2023-03-20T08:28:00Z</dcterms:modified>
</cp:coreProperties>
</file>