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11378AEE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0D270F" w:rsidRPr="000D270F">
        <w:rPr>
          <w:rFonts w:ascii="Arial" w:hAnsi="Arial" w:cs="Arial"/>
          <w:b/>
          <w:bCs/>
          <w:sz w:val="24"/>
          <w:szCs w:val="24"/>
        </w:rPr>
        <w:t>Modernizacja drogi powiatowej nr 2449C Strzelno-Jaworowo w km 12+138 – 13+163 na długości 1,025 km w obrębie Ostrowo</w:t>
      </w:r>
      <w:r w:rsidR="00DA31C3" w:rsidRPr="00DA31C3">
        <w:rPr>
          <w:rFonts w:ascii="Arial" w:hAnsi="Arial" w:cs="Arial"/>
          <w:b/>
          <w:bCs/>
          <w:sz w:val="24"/>
          <w:szCs w:val="24"/>
        </w:rPr>
        <w:t>”</w:t>
      </w:r>
      <w:r w:rsidRPr="002072F7">
        <w:rPr>
          <w:rFonts w:ascii="Arial" w:hAnsi="Arial" w:cs="Arial"/>
          <w:iCs/>
          <w:sz w:val="24"/>
          <w:szCs w:val="24"/>
        </w:rPr>
        <w:t>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Pr="002072F7">
        <w:rPr>
          <w:rFonts w:ascii="Arial" w:hAnsi="Arial" w:cs="Arial"/>
          <w:iCs/>
          <w:sz w:val="24"/>
          <w:szCs w:val="24"/>
        </w:rPr>
        <w:t>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0A25BB61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DA31C3">
        <w:rPr>
          <w:rFonts w:ascii="Arial" w:hAnsi="Arial" w:cs="Arial"/>
        </w:rPr>
        <w:t>z</w:t>
      </w:r>
      <w:r w:rsidR="001A1715">
        <w:rPr>
          <w:rFonts w:ascii="Arial" w:hAnsi="Arial" w:cs="Arial"/>
        </w:rPr>
        <w:t> </w:t>
      </w:r>
      <w:r w:rsidR="00DA31C3">
        <w:rPr>
          <w:rFonts w:ascii="Arial" w:hAnsi="Arial" w:cs="Arial"/>
        </w:rPr>
        <w:t xml:space="preserve">2022 r. </w:t>
      </w:r>
      <w:r w:rsidRPr="000F7472">
        <w:rPr>
          <w:rFonts w:ascii="Arial" w:hAnsi="Arial" w:cs="Arial"/>
        </w:rPr>
        <w:t>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2F60703A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0D270F">
      <w:rPr>
        <w:rFonts w:ascii="Arial" w:eastAsia="Times New Roman" w:hAnsi="Arial" w:cs="Arial"/>
        <w:sz w:val="24"/>
        <w:szCs w:val="24"/>
        <w:lang w:eastAsia="pl-PL"/>
      </w:rPr>
      <w:t>6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B22C50">
      <w:rPr>
        <w:rFonts w:ascii="Arial" w:eastAsia="Times New Roman" w:hAnsi="Arial" w:cs="Arial"/>
        <w:sz w:val="24"/>
        <w:szCs w:val="24"/>
        <w:lang w:eastAsia="pl-PL"/>
      </w:rPr>
      <w:t>3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D270F"/>
    <w:rsid w:val="000F7472"/>
    <w:rsid w:val="0010530B"/>
    <w:rsid w:val="00147D81"/>
    <w:rsid w:val="001A1715"/>
    <w:rsid w:val="001B635C"/>
    <w:rsid w:val="002072F7"/>
    <w:rsid w:val="00381A66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E3531"/>
    <w:rsid w:val="00AF62D3"/>
    <w:rsid w:val="00B22C50"/>
    <w:rsid w:val="00D45502"/>
    <w:rsid w:val="00DA1FB4"/>
    <w:rsid w:val="00DA31C3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dcterms:created xsi:type="dcterms:W3CDTF">2022-05-16T08:53:00Z</dcterms:created>
  <dcterms:modified xsi:type="dcterms:W3CDTF">2023-08-16T09:08:00Z</dcterms:modified>
</cp:coreProperties>
</file>