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3C92" w14:textId="77777777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B7C5460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6BBDCE93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6BAAC63A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11837D68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C6ECCA1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41AD3220" w14:textId="77777777" w:rsidR="00B56A61" w:rsidRPr="00B56A61" w:rsidRDefault="006C3CF9" w:rsidP="006C3CF9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3CF9">
        <w:rPr>
          <w:rFonts w:ascii="Arial" w:hAnsi="Arial" w:cs="Arial"/>
          <w:color w:val="auto"/>
          <w:sz w:val="20"/>
          <w:szCs w:val="20"/>
        </w:rPr>
        <w:t xml:space="preserve">Tomasza </w:t>
      </w:r>
      <w:proofErr w:type="spellStart"/>
      <w:r w:rsidRPr="006C3CF9">
        <w:rPr>
          <w:rFonts w:ascii="Arial" w:hAnsi="Arial" w:cs="Arial"/>
          <w:color w:val="auto"/>
          <w:sz w:val="20"/>
          <w:szCs w:val="20"/>
        </w:rPr>
        <w:t>Werbińskiego</w:t>
      </w:r>
      <w:proofErr w:type="spellEnd"/>
      <w:r w:rsidRPr="006C3CF9">
        <w:rPr>
          <w:rFonts w:ascii="Arial" w:hAnsi="Arial" w:cs="Arial"/>
          <w:color w:val="auto"/>
          <w:sz w:val="20"/>
          <w:szCs w:val="20"/>
        </w:rPr>
        <w:t xml:space="preserve"> – p.o. Dyrektora Zarządu Dróg Powiatowych w Mogilnie, działającym na 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upoważnienia udzielonego Uchwałą nr 461/13 Zarządu Powiatu Mogileńskiego 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>dnia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CF9">
        <w:rPr>
          <w:rFonts w:ascii="Arial" w:hAnsi="Arial" w:cs="Arial"/>
          <w:color w:val="auto"/>
          <w:sz w:val="20"/>
          <w:szCs w:val="20"/>
        </w:rPr>
        <w:t xml:space="preserve">23.10.2013 r. </w:t>
      </w:r>
      <w:r w:rsidR="00B56A61" w:rsidRPr="00B56A6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C68D65C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4CF44E01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53615A3F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58D01394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418BF5CC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3161759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02E80915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1AB11018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15C33BAB" w14:textId="1BFE193B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</w:t>
      </w:r>
      <w:proofErr w:type="spellStart"/>
      <w:r w:rsidR="00A35671" w:rsidRPr="00580F9A">
        <w:rPr>
          <w:rFonts w:ascii="Arial" w:hAnsi="Arial" w:cs="Arial"/>
          <w:color w:val="auto"/>
          <w:sz w:val="20"/>
          <w:szCs w:val="20"/>
        </w:rPr>
        <w:t>p.z.p</w:t>
      </w:r>
      <w:proofErr w:type="spellEnd"/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20342A" w:rsidRPr="0020342A">
        <w:rPr>
          <w:rFonts w:ascii="Arial" w:hAnsi="Arial" w:cs="Arial"/>
          <w:b/>
          <w:color w:val="auto"/>
          <w:sz w:val="20"/>
          <w:szCs w:val="20"/>
        </w:rPr>
        <w:t>Przebudowa drogi powiatowej nr 2438C Gębice – Łąkie odc. Zbytowo – Łąkie od km 2+890 do km 3+890 o dł. 1,000 km”</w:t>
      </w:r>
      <w:r w:rsidR="0005289D">
        <w:rPr>
          <w:rFonts w:ascii="Arial" w:hAnsi="Arial" w:cs="Arial"/>
          <w:color w:val="auto"/>
          <w:sz w:val="20"/>
          <w:szCs w:val="20"/>
        </w:rPr>
        <w:t>,</w:t>
      </w:r>
    </w:p>
    <w:p w14:paraId="7DD4DC8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6A1CCC8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6DDE6A2B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089BF6C0" w14:textId="7E6C81B8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20342A" w:rsidRPr="0020342A">
        <w:rPr>
          <w:rFonts w:ascii="Arial" w:hAnsi="Arial" w:cs="Arial"/>
          <w:color w:val="auto"/>
          <w:sz w:val="20"/>
          <w:szCs w:val="20"/>
        </w:rPr>
        <w:t>Przebudowa drogi powiatowej nr 2438C Gębice – Łąkie odc. Zbytowo – Łąkie od km 2+890 do km 3+890 o dł. 1,000 km”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255D26E" w14:textId="77777777" w:rsidR="00B56A61" w:rsidRPr="00BA5AA2" w:rsidRDefault="00DD4216" w:rsidP="00BA5AA2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D14C236" w14:textId="77777777" w:rsidR="0020342A" w:rsidRDefault="0020342A" w:rsidP="00E37E8E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176A606" w14:textId="23B976F1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FCBE26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4FC9B143" w14:textId="33B39B1E" w:rsidR="007D2CC9" w:rsidRPr="007D2CC9" w:rsidRDefault="003D582E" w:rsidP="007D2CC9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753CB842" w14:textId="39FD9062" w:rsidR="007D2CC9" w:rsidRDefault="007D2CC9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Pr="007D2CC9">
        <w:rPr>
          <w:rFonts w:ascii="Arial" w:hAnsi="Arial" w:cs="Arial"/>
          <w:color w:val="auto"/>
          <w:sz w:val="20"/>
          <w:szCs w:val="20"/>
        </w:rPr>
        <w:t>rzekazanie terenu budowy</w:t>
      </w:r>
      <w:r>
        <w:rPr>
          <w:rFonts w:ascii="Arial" w:hAnsi="Arial" w:cs="Arial"/>
          <w:color w:val="auto"/>
          <w:sz w:val="20"/>
          <w:szCs w:val="20"/>
        </w:rPr>
        <w:t xml:space="preserve">, które </w:t>
      </w:r>
      <w:r w:rsidRPr="007D2CC9">
        <w:rPr>
          <w:rFonts w:ascii="Arial" w:hAnsi="Arial" w:cs="Arial"/>
          <w:color w:val="auto"/>
          <w:sz w:val="20"/>
          <w:szCs w:val="20"/>
        </w:rPr>
        <w:t>nastąpi w ciągu 3 dni kalendarzowych od daty zawarcia  umowy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158CE0B0" w14:textId="77777777" w:rsidR="007D2CC9" w:rsidRDefault="007D2CC9" w:rsidP="007D2CC9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dokonywanie odbiorów robót;</w:t>
      </w:r>
    </w:p>
    <w:p w14:paraId="2C2E0C8B" w14:textId="74E43281" w:rsidR="007D2CC9" w:rsidRPr="00580F9A" w:rsidRDefault="007D2CC9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49062306" w14:textId="080E4808" w:rsidR="003E5626" w:rsidRDefault="007D2CC9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3D582E" w:rsidRPr="00580F9A">
        <w:rPr>
          <w:rFonts w:ascii="Arial" w:hAnsi="Arial" w:cs="Arial"/>
          <w:color w:val="auto"/>
          <w:sz w:val="20"/>
          <w:szCs w:val="20"/>
        </w:rPr>
        <w:t>bowiązk</w:t>
      </w:r>
      <w:r>
        <w:rPr>
          <w:rFonts w:ascii="Arial" w:hAnsi="Arial" w:cs="Arial"/>
          <w:color w:val="auto"/>
          <w:sz w:val="20"/>
          <w:szCs w:val="20"/>
        </w:rPr>
        <w:t>i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Wykonawcy:</w:t>
      </w:r>
    </w:p>
    <w:p w14:paraId="4F91F5DC" w14:textId="0A8A81CF" w:rsidR="007D2CC9" w:rsidRPr="00203C78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ab/>
        <w:t>Wykonawca od chwili przejęcia terenu budowy zapewnia zabezpieczenie terenu budowy i robót oraz warunki bezpieczeństwa i higieny pracy.</w:t>
      </w:r>
    </w:p>
    <w:p w14:paraId="4D8D1AD5" w14:textId="2FA3AA99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Po zakończeniu robót Wykonawca w terminie tygodnia winien usunąć poza teren budowy wszystkie urządzenia, tymczasowe zaplecze, resztki materiałów, wszelkiego rodzaju gruz i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śmieci. Materiały z rozbiórki nadające się do dalszego użycia, a niewykorzystane do innych robót, należą do Zamawiającego. Wykonawca każdorazowo przed zagospodarowaniem odpadów ustali z Inspektorem nadzoru inwestorskiego rodzaj i ilość użytecznych materiałów z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rozbiórki, które Wykonawca na własny koszt odwiezie do najbliższej jednostki terenowej Zamawiającego. Pozostałe materiały z rozbiórki ulegają utylizacji przez wykonawcę robót.</w:t>
      </w:r>
      <w:r>
        <w:rPr>
          <w:rFonts w:ascii="Arial" w:hAnsi="Arial" w:cs="Arial"/>
          <w:color w:val="auto"/>
          <w:sz w:val="20"/>
          <w:szCs w:val="20"/>
        </w:rPr>
        <w:t xml:space="preserve"> Wykonawca </w:t>
      </w:r>
      <w:r w:rsidRPr="007D2CC9">
        <w:rPr>
          <w:rFonts w:ascii="Arial" w:hAnsi="Arial" w:cs="Arial"/>
          <w:color w:val="auto"/>
          <w:sz w:val="20"/>
          <w:szCs w:val="20"/>
        </w:rPr>
        <w:t>odtworz</w:t>
      </w:r>
      <w:r>
        <w:rPr>
          <w:rFonts w:ascii="Arial" w:hAnsi="Arial" w:cs="Arial"/>
          <w:color w:val="auto"/>
          <w:sz w:val="20"/>
          <w:szCs w:val="20"/>
        </w:rPr>
        <w:t>y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zniszczon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lub zdewastowan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nawierzchni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utwardzon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i teren</w:t>
      </w:r>
      <w:r>
        <w:rPr>
          <w:rFonts w:ascii="Arial" w:hAnsi="Arial" w:cs="Arial"/>
          <w:color w:val="auto"/>
          <w:sz w:val="20"/>
          <w:szCs w:val="20"/>
        </w:rPr>
        <w:t>y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zielon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 po prowadzonych pracach budowlanych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49FADE8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Wykonawca winien chronić przed uszkodzeniem wykonane przez siebie roboty aż do momentu odbioru końcowego.</w:t>
      </w:r>
    </w:p>
    <w:p w14:paraId="29455764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ab/>
        <w:t>Wykonawca musi zapewnić Inspektorowi Nadzoru pełną dostępność do robót. Wykonawca jest zobowiązany informować Inspektora Nadzoru kiedy roboty zanikające oraz ulegające zakryciu będą gotowe do zbadania i odbioru.</w:t>
      </w:r>
    </w:p>
    <w:p w14:paraId="5B24C364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Wykonawca wykona przedmiot umowy z materiałów zgodnie z art. 10 Ustawy „Prawo Budowlane” oraz zgodnie z Polskimi Normami i wymaganiami określonymi w OPZ.</w:t>
      </w:r>
    </w:p>
    <w:p w14:paraId="3E6565B7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ab/>
        <w:t>Wykonawca zobowiązany jest dostarczyć Zamawiającemu uzgodniony projekt organizacji ruchu na czas prowadzenia robót, Plan Bezpieczeństwa i Ochrony Zdrowia oraz Program Zapewnienia Jakości.</w:t>
      </w:r>
    </w:p>
    <w:p w14:paraId="18A48636" w14:textId="790A9EE3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Wykonawca zapewni organizację ruchu na czas robót (projekt, wykonanie, bieżące utrzymanie i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likwidacja po zakończeniu robót).W przypadku konieczności kierowania ruchem w trakcie realizacji robót Wykonawca musi dysponować pracownikami przeszkolonymi zgodnie z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rozporządzeniem Ministra Spraw Wewnętrznych i Administracji z dnia 13.06.2018 r. (Dz.U. z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 xml:space="preserve">2018 r. poz. 1190) zmieniające  rozporządzenie w sprawie kierowania ruchem drogowym, którzy na podstawie art. 6 ust.1 pkt. 5 Ustawy z dn. 20.06.1997 r. – Prawo o ruchu drogowym –   ( Dz.U. z 2020 poz. 110 t.j.), będą mogli dawać sygnały uczestnikom ruchu lub innym osobom znajdującym się na drodze w czasie prowadzenia robót. W takim przypadku Wykonawca </w:t>
      </w:r>
      <w:r w:rsidRPr="007D2CC9">
        <w:rPr>
          <w:rFonts w:ascii="Arial" w:hAnsi="Arial" w:cs="Arial"/>
          <w:color w:val="auto"/>
          <w:sz w:val="20"/>
          <w:szCs w:val="20"/>
        </w:rPr>
        <w:lastRenderedPageBreak/>
        <w:t>przedstawi Inspektorowi Nadzoru stosowne dokumenty potwierdzające wymagane przeszkolenie pracowników Wykonawcy.</w:t>
      </w:r>
    </w:p>
    <w:p w14:paraId="2A071CD0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ab/>
        <w:t>Wykonawca powiadamiać będzie przed przystąpieniem do robót, oraz o wszelkich późniejszych zmianach organizacji ruchu jednostki odpowiedzialne za organizację ruchu.</w:t>
      </w:r>
    </w:p>
    <w:p w14:paraId="1FBD46F0" w14:textId="77777777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ab/>
        <w:t>Rodzaj materiałów proponowanych przez Wykonawcę podlega przed wbudowaniem wcześniejszej akceptacji pisemnej przez Zamawiającego.</w:t>
      </w:r>
    </w:p>
    <w:p w14:paraId="78875323" w14:textId="2EBFDE62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Do odbioru końcowego Wykonawca przedłoży Zamawiającemu kompletny operat kolaudacyjny  – wersja papierowa,  zawierający dokumenty określone w OPZ oraz spis treści, kopię umowy, ofertę, dziennik przebiegu robót i rejestry obmiarów (oryginały), harmonogram robót, protokoły odbioru robót ulegających zakryciu i zanikających, protokół przekazania terenu budowy, pismo o</w:t>
      </w:r>
      <w:r w:rsidR="002E28EB"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powołaniu Komisji Odbioru, wyniki pomiarów, deklaracje zgodności materiałów lub certyfikaty zgodności wbudowania materiałów, sprawozdanie techniczne Wykonawcy, protokół odbioru końcowego robót, oświadczenie kierownika budowy o wykonaniu robót zgodnie z</w:t>
      </w:r>
      <w:r w:rsidR="00B3648E">
        <w:rPr>
          <w:rFonts w:ascii="Arial" w:hAnsi="Arial" w:cs="Arial"/>
          <w:color w:val="auto"/>
          <w:sz w:val="20"/>
          <w:szCs w:val="20"/>
        </w:rPr>
        <w:t> </w:t>
      </w:r>
      <w:r w:rsidRPr="007D2CC9">
        <w:rPr>
          <w:rFonts w:ascii="Arial" w:hAnsi="Arial" w:cs="Arial"/>
          <w:color w:val="auto"/>
          <w:sz w:val="20"/>
          <w:szCs w:val="20"/>
        </w:rPr>
        <w:t>obowiązującymi przepisami oraz inne dokumenty określone przez inspektora nadzoru.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D2CC9">
        <w:rPr>
          <w:rFonts w:ascii="Arial" w:hAnsi="Arial" w:cs="Arial"/>
          <w:color w:val="auto"/>
          <w:sz w:val="20"/>
          <w:szCs w:val="20"/>
        </w:rPr>
        <w:t>W/w operat kolaudacyjny ma być dostarczony do Zamawiającego najpóźniej w dniu zgłoszenia gotowości do odbioru końcowego.</w:t>
      </w:r>
    </w:p>
    <w:p w14:paraId="78332FD8" w14:textId="1D480DF9" w:rsidR="007D2CC9" w:rsidRDefault="007D2CC9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 xml:space="preserve">Wykonawca ponosi pełną odpowiedzialność cywilną za niewykonanie lub nienależyte wykonanie przedmiotu umowy oraz za wszelkie szkody na osobach i rzeczach powstałe </w:t>
      </w:r>
      <w:r w:rsidR="00B3648E">
        <w:rPr>
          <w:rFonts w:ascii="Arial" w:hAnsi="Arial" w:cs="Arial"/>
          <w:color w:val="auto"/>
          <w:sz w:val="20"/>
          <w:szCs w:val="20"/>
        </w:rPr>
        <w:t>w </w:t>
      </w:r>
      <w:r w:rsidRPr="007D2CC9">
        <w:rPr>
          <w:rFonts w:ascii="Arial" w:hAnsi="Arial" w:cs="Arial"/>
          <w:color w:val="auto"/>
          <w:sz w:val="20"/>
          <w:szCs w:val="20"/>
        </w:rPr>
        <w:t>związku z wykonywanym lub nienależycie wykonanym przedmiotem umowy.</w:t>
      </w:r>
    </w:p>
    <w:p w14:paraId="18ECF016" w14:textId="77777777" w:rsidR="007D2CC9" w:rsidRDefault="00167825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według standardów podanych w „Szczegółowych Specyfikacjach Technicznych” stanowiących integralną część niniejszej umowy.</w:t>
      </w:r>
    </w:p>
    <w:p w14:paraId="196ADFA9" w14:textId="77777777" w:rsidR="007D2CC9" w:rsidRPr="007D2CC9" w:rsidRDefault="00167825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 w:rsidRPr="007D2CC9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 w:rsidRPr="007D2CC9">
        <w:rPr>
          <w:rFonts w:ascii="Arial" w:hAnsi="Arial" w:cs="Arial"/>
          <w:bCs/>
          <w:color w:val="auto"/>
          <w:sz w:val="20"/>
          <w:szCs w:val="20"/>
        </w:rPr>
        <w:t xml:space="preserve"> tj. roboty drogowe</w:t>
      </w:r>
      <w:r w:rsidR="002D6C90" w:rsidRPr="007D2CC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 w:rsidRPr="007D2CC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>W</w:t>
      </w:r>
      <w:r w:rsidR="002D6C90" w:rsidRPr="007D2CC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425E082B" w14:textId="465A8346" w:rsidR="00F70DC0" w:rsidRPr="007D2CC9" w:rsidRDefault="00167825" w:rsidP="00E85671">
      <w:pPr>
        <w:pStyle w:val="Akapitzlist"/>
        <w:widowControl w:val="0"/>
        <w:numPr>
          <w:ilvl w:val="0"/>
          <w:numId w:val="40"/>
        </w:numPr>
        <w:tabs>
          <w:tab w:val="left" w:pos="284"/>
          <w:tab w:val="center" w:pos="5271"/>
          <w:tab w:val="right" w:pos="9807"/>
        </w:tabs>
        <w:spacing w:line="360" w:lineRule="auto"/>
        <w:ind w:hanging="437"/>
        <w:jc w:val="both"/>
        <w:rPr>
          <w:rFonts w:ascii="Arial" w:hAnsi="Arial" w:cs="Arial"/>
          <w:color w:val="auto"/>
          <w:sz w:val="20"/>
          <w:szCs w:val="20"/>
        </w:rPr>
      </w:pPr>
      <w:r w:rsidRPr="007D2CC9">
        <w:rPr>
          <w:rFonts w:ascii="Arial" w:hAnsi="Arial" w:cs="Arial"/>
          <w:bCs/>
          <w:color w:val="auto"/>
          <w:sz w:val="20"/>
          <w:szCs w:val="20"/>
        </w:rPr>
        <w:t xml:space="preserve">Wykonawca 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>przedło</w:t>
      </w:r>
      <w:r w:rsidRPr="007D2CC9">
        <w:rPr>
          <w:rFonts w:ascii="Arial" w:hAnsi="Arial" w:cs="Arial"/>
          <w:bCs/>
          <w:color w:val="auto"/>
          <w:sz w:val="20"/>
          <w:szCs w:val="20"/>
        </w:rPr>
        <w:t>ży</w:t>
      </w:r>
      <w:r w:rsidR="00F70DC0" w:rsidRPr="007D2CC9">
        <w:rPr>
          <w:rFonts w:ascii="Arial" w:hAnsi="Arial" w:cs="Arial"/>
          <w:bCs/>
          <w:color w:val="auto"/>
          <w:sz w:val="20"/>
          <w:szCs w:val="20"/>
        </w:rPr>
        <w:t>, w</w:t>
      </w:r>
      <w:r w:rsidR="00F70DC0" w:rsidRPr="007D2CC9">
        <w:rPr>
          <w:rFonts w:ascii="Arial" w:hAnsi="Arial" w:cs="Arial"/>
          <w:color w:val="auto"/>
          <w:sz w:val="20"/>
          <w:szCs w:val="20"/>
        </w:rPr>
        <w:t xml:space="preserve"> trakcie realizacji zamówienia na każde wezwanie Zamawiającego</w:t>
      </w:r>
      <w:r w:rsidR="00B42A5F" w:rsidRPr="007D2CC9">
        <w:rPr>
          <w:rFonts w:ascii="Arial" w:hAnsi="Arial" w:cs="Arial"/>
          <w:color w:val="auto"/>
          <w:sz w:val="20"/>
          <w:szCs w:val="20"/>
        </w:rPr>
        <w:t xml:space="preserve"> </w:t>
      </w:r>
      <w:r w:rsidR="00F70DC0" w:rsidRPr="007D2CC9">
        <w:rPr>
          <w:rFonts w:ascii="Arial" w:hAnsi="Arial" w:cs="Arial"/>
          <w:color w:val="auto"/>
          <w:sz w:val="20"/>
          <w:szCs w:val="20"/>
        </w:rPr>
        <w:t>w</w:t>
      </w:r>
      <w:r w:rsidR="00D87DDA" w:rsidRPr="007D2CC9">
        <w:rPr>
          <w:rFonts w:ascii="Arial" w:hAnsi="Arial" w:cs="Arial"/>
          <w:color w:val="auto"/>
          <w:sz w:val="20"/>
          <w:szCs w:val="20"/>
        </w:rPr>
        <w:t> </w:t>
      </w:r>
      <w:r w:rsidR="00F70DC0" w:rsidRPr="007D2CC9">
        <w:rPr>
          <w:rFonts w:ascii="Arial" w:hAnsi="Arial" w:cs="Arial"/>
          <w:color w:val="auto"/>
          <w:sz w:val="20"/>
          <w:szCs w:val="20"/>
        </w:rPr>
        <w:t>wyznaczonym w tym wezwaniu terminie, wskazan</w:t>
      </w:r>
      <w:r w:rsidRPr="007D2CC9">
        <w:rPr>
          <w:rFonts w:ascii="Arial" w:hAnsi="Arial" w:cs="Arial"/>
          <w:color w:val="auto"/>
          <w:sz w:val="20"/>
          <w:szCs w:val="20"/>
        </w:rPr>
        <w:t>e</w:t>
      </w:r>
      <w:r w:rsidR="00F70DC0" w:rsidRPr="007D2CC9">
        <w:rPr>
          <w:rFonts w:ascii="Arial" w:hAnsi="Arial" w:cs="Arial"/>
          <w:color w:val="auto"/>
          <w:sz w:val="20"/>
          <w:szCs w:val="20"/>
        </w:rPr>
        <w:t xml:space="preserve"> poniżej dowod</w:t>
      </w:r>
      <w:r w:rsidRPr="007D2CC9">
        <w:rPr>
          <w:rFonts w:ascii="Arial" w:hAnsi="Arial" w:cs="Arial"/>
          <w:color w:val="auto"/>
          <w:sz w:val="20"/>
          <w:szCs w:val="20"/>
        </w:rPr>
        <w:t>y</w:t>
      </w:r>
      <w:r w:rsidR="00F70DC0" w:rsidRPr="007D2CC9">
        <w:rPr>
          <w:rFonts w:ascii="Arial" w:hAnsi="Arial" w:cs="Arial"/>
          <w:color w:val="auto"/>
          <w:sz w:val="20"/>
          <w:szCs w:val="20"/>
        </w:rPr>
        <w:t xml:space="preserve"> w celu potwierdzenia spełnienia wymogu zatrudnienia na podstawie </w:t>
      </w:r>
      <w:r w:rsidR="0045294A" w:rsidRPr="007D2CC9">
        <w:rPr>
          <w:rFonts w:ascii="Arial" w:hAnsi="Arial" w:cs="Arial"/>
          <w:color w:val="auto"/>
          <w:sz w:val="20"/>
          <w:szCs w:val="20"/>
        </w:rPr>
        <w:t>stosunku pracy</w:t>
      </w:r>
      <w:r w:rsidR="00F70DC0" w:rsidRPr="007D2CC9">
        <w:rPr>
          <w:rFonts w:ascii="Arial" w:hAnsi="Arial" w:cs="Arial"/>
          <w:color w:val="auto"/>
          <w:sz w:val="20"/>
          <w:szCs w:val="20"/>
        </w:rPr>
        <w:t xml:space="preserve"> przez Wykonawcę lub podwykonawcę osób wykonujących wskazane w ust. 2 pkt</w:t>
      </w:r>
      <w:r w:rsidR="002D6C90" w:rsidRPr="007D2CC9">
        <w:rPr>
          <w:rFonts w:ascii="Arial" w:hAnsi="Arial" w:cs="Arial"/>
          <w:color w:val="auto"/>
          <w:sz w:val="20"/>
          <w:szCs w:val="20"/>
        </w:rPr>
        <w:t xml:space="preserve"> </w:t>
      </w:r>
      <w:r w:rsidR="00BA5AA2" w:rsidRPr="007D2CC9">
        <w:rPr>
          <w:rFonts w:ascii="Arial" w:hAnsi="Arial" w:cs="Arial"/>
          <w:color w:val="auto"/>
          <w:sz w:val="20"/>
          <w:szCs w:val="20"/>
        </w:rPr>
        <w:t>4</w:t>
      </w:r>
      <w:r w:rsidR="00F70DC0" w:rsidRPr="007D2CC9">
        <w:rPr>
          <w:rFonts w:ascii="Arial" w:hAnsi="Arial" w:cs="Arial"/>
          <w:color w:val="auto"/>
          <w:sz w:val="20"/>
          <w:szCs w:val="20"/>
        </w:rPr>
        <w:t xml:space="preserve"> czynności w trakcie realizacji zamówienia:</w:t>
      </w:r>
    </w:p>
    <w:p w14:paraId="2C6C4419" w14:textId="77777777" w:rsidR="00F70DC0" w:rsidRDefault="00F70DC0" w:rsidP="007D2CC9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1276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>
        <w:rPr>
          <w:rFonts w:ascii="Arial" w:hAnsi="Arial" w:cs="Arial"/>
          <w:color w:val="auto"/>
          <w:sz w:val="20"/>
          <w:szCs w:val="20"/>
        </w:rPr>
        <w:lastRenderedPageBreak/>
        <w:t>liczby tych osób, imion i nazwisk tych osób, rodzaju umowy o pracę i wymiaru etatu oraz podpis osoby uprawnionej do złożenia oświadczenia w imieniu wykonawcy lub podwykonawcy;</w:t>
      </w:r>
    </w:p>
    <w:p w14:paraId="507D2AD4" w14:textId="77777777" w:rsidR="00FD3BCD" w:rsidRDefault="00FD3BCD" w:rsidP="007D2CC9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1276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6CE0E63F" w14:textId="77777777" w:rsidR="00F70DC0" w:rsidRDefault="00F70DC0" w:rsidP="007D2CC9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1276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0AEDF9EC" w14:textId="77777777" w:rsidR="00F70DC0" w:rsidRDefault="00F70DC0" w:rsidP="007D2CC9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1276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66999019" w14:textId="5C6A93EA" w:rsidR="00BA5AA2" w:rsidRPr="00BA5AA2" w:rsidRDefault="00F70DC0" w:rsidP="007D2CC9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1276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>, zanonimizowaną w sposób zapewniający ochronę danych osobowych pracowników, zgodnie z przepisami o ochronie danych osobowych, z zastrzeżeniem z § 2 ust. 2 pkt 1</w:t>
      </w:r>
      <w:r w:rsidR="008057BE">
        <w:rPr>
          <w:rFonts w:ascii="Arial" w:hAnsi="Arial" w:cs="Arial"/>
          <w:color w:val="auto"/>
          <w:sz w:val="20"/>
          <w:szCs w:val="20"/>
        </w:rPr>
        <w:t>4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C3A0638" w14:textId="77777777" w:rsidR="00BA5AA2" w:rsidRDefault="00F70DC0" w:rsidP="00BA5AA2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5B7B5CA5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269E17E9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1A0803B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408239B3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5EEC5BC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8A7DC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5808C90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4153483" w14:textId="77777777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1C8C620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509A6C1B" w14:textId="430023CE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Umowa zostanie zawarta na okres</w:t>
      </w:r>
      <w:r w:rsidR="00E85671">
        <w:rPr>
          <w:rFonts w:ascii="Arial" w:hAnsi="Arial" w:cs="Arial"/>
          <w:sz w:val="20"/>
        </w:rPr>
        <w:t xml:space="preserve"> 4 miesięcy</w:t>
      </w:r>
      <w:r>
        <w:rPr>
          <w:rFonts w:ascii="Arial" w:hAnsi="Arial" w:cs="Arial"/>
          <w:sz w:val="20"/>
        </w:rPr>
        <w:t xml:space="preserve"> </w:t>
      </w:r>
      <w:r w:rsidR="00B42A5F">
        <w:rPr>
          <w:rFonts w:ascii="Arial" w:hAnsi="Arial" w:cs="Arial"/>
          <w:sz w:val="20"/>
        </w:rPr>
        <w:t>od dnia podpisania umowy</w:t>
      </w:r>
      <w:r w:rsidR="00E866D7">
        <w:rPr>
          <w:rFonts w:ascii="Arial" w:hAnsi="Arial" w:cs="Arial"/>
          <w:sz w:val="20"/>
        </w:rPr>
        <w:t>.</w:t>
      </w:r>
    </w:p>
    <w:p w14:paraId="4F322A6A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5291FFD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4610EB6B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12243B92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130DFF66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B0B97B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26C9038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0899320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7821042A" w14:textId="1B243B7B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="00172DDE">
        <w:rPr>
          <w:rFonts w:ascii="Arial" w:hAnsi="Arial" w:cs="Arial"/>
          <w:color w:val="auto"/>
          <w:sz w:val="20"/>
          <w:szCs w:val="20"/>
        </w:rPr>
        <w:t>.</w:t>
      </w:r>
    </w:p>
    <w:p w14:paraId="25A9C65B" w14:textId="7FB95584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7D2B57B6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2D0EC5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2407659A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4AD18DED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43EAACA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532B0496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11.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345BDC57" w14:textId="77777777" w:rsidR="00FE6776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lastRenderedPageBreak/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63BDAE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EE09FB6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0A5C11C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092331DA" w14:textId="77777777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63C25E7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C86E11D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0D76F958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28485659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7A2562B4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07489372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064D403A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5CA5B34E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5BDCA70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3B019742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47148A48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7A09B4AF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6165972E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1165B86C" w14:textId="40B5B08C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</w:t>
      </w:r>
      <w:r w:rsidR="00172DDE">
        <w:rPr>
          <w:rFonts w:ascii="Arial" w:hAnsi="Arial" w:cs="Arial"/>
          <w:bCs/>
          <w:color w:val="auto"/>
          <w:sz w:val="20"/>
          <w:szCs w:val="20"/>
        </w:rPr>
        <w:t xml:space="preserve">ostatecznego </w:t>
      </w:r>
      <w:r w:rsidR="000A6020">
        <w:rPr>
          <w:rFonts w:ascii="Arial" w:hAnsi="Arial" w:cs="Arial"/>
          <w:bCs/>
          <w:color w:val="auto"/>
          <w:sz w:val="20"/>
          <w:szCs w:val="20"/>
        </w:rPr>
        <w:t>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660D29E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4B7CA08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072776E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100901D7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449855FE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numer rachunku bankowego wskazany na fakturach wystawianych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związku z realizacją Umowy jest numerem właściwym do dokonania rozliczeń na zasadach podzielonej płatności, zgodnie z przepisami z dnia 11 marca 2004 roku o podatku od towarów i usług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(t.j. Dz.U. z 2020 r. poz. 106).</w:t>
      </w:r>
    </w:p>
    <w:p w14:paraId="2327D6A7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4A62954A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430622CE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5D721A64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7D6B5B32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1A968A7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1C4A05DE" w14:textId="77777777" w:rsidR="000A6020" w:rsidRDefault="000A6020" w:rsidP="00F8008F">
      <w:pPr>
        <w:widowControl w:val="0"/>
        <w:tabs>
          <w:tab w:val="left" w:pos="426"/>
        </w:tabs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p w14:paraId="5ECFCFF1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65693687" w14:textId="77777777" w:rsidR="003E5626" w:rsidRPr="00580F9A" w:rsidRDefault="003D582E" w:rsidP="00F8008F">
      <w:pPr>
        <w:widowControl w:val="0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Zabezpieczenie należytego wykonania umowy</w:t>
      </w:r>
    </w:p>
    <w:p w14:paraId="105DBB0D" w14:textId="77777777" w:rsidR="00904814" w:rsidRDefault="004168F3" w:rsidP="004168F3">
      <w:pPr>
        <w:widowControl w:val="0"/>
        <w:numPr>
          <w:ilvl w:val="3"/>
          <w:numId w:val="4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t xml:space="preserve">Wykonawca </w:t>
      </w:r>
      <w:r>
        <w:rPr>
          <w:rFonts w:ascii="Arial" w:hAnsi="Arial" w:cs="Arial"/>
          <w:color w:val="auto"/>
          <w:sz w:val="20"/>
          <w:szCs w:val="20"/>
        </w:rPr>
        <w:t xml:space="preserve">wniósł </w:t>
      </w:r>
      <w:r w:rsidRPr="004168F3">
        <w:rPr>
          <w:rFonts w:ascii="Arial" w:hAnsi="Arial" w:cs="Arial"/>
          <w:color w:val="auto"/>
          <w:sz w:val="20"/>
          <w:szCs w:val="20"/>
        </w:rPr>
        <w:t xml:space="preserve"> zabezpieczenie należytego wykonania umowy w wysokości 5 % ceny całkowitej podanej w ofercie</w:t>
      </w:r>
      <w:r>
        <w:rPr>
          <w:rFonts w:ascii="Arial" w:hAnsi="Arial" w:cs="Arial"/>
          <w:color w:val="auto"/>
          <w:sz w:val="20"/>
          <w:szCs w:val="20"/>
        </w:rPr>
        <w:t xml:space="preserve"> tj. .................... zł w formie.......................</w:t>
      </w:r>
      <w:r w:rsidRPr="004168F3">
        <w:rPr>
          <w:rFonts w:ascii="Arial" w:hAnsi="Arial" w:cs="Arial"/>
          <w:color w:val="auto"/>
          <w:sz w:val="20"/>
          <w:szCs w:val="20"/>
        </w:rPr>
        <w:t>.</w:t>
      </w:r>
    </w:p>
    <w:p w14:paraId="76DDABAD" w14:textId="77777777" w:rsidR="004168F3" w:rsidRDefault="004168F3" w:rsidP="002C6A73">
      <w:pPr>
        <w:numPr>
          <w:ilvl w:val="3"/>
          <w:numId w:val="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168F3">
        <w:rPr>
          <w:rFonts w:ascii="Arial" w:hAnsi="Arial" w:cs="Arial"/>
          <w:color w:val="auto"/>
          <w:sz w:val="20"/>
          <w:szCs w:val="20"/>
        </w:rPr>
        <w:lastRenderedPageBreak/>
        <w:t>Kwota pozostawiona na zabezpieczenie roszczeń z tytułu rękojmi za wady wynosi 30% wysokości zabezpieczenia.</w:t>
      </w:r>
    </w:p>
    <w:p w14:paraId="310FF067" w14:textId="77777777" w:rsidR="00EA5DB3" w:rsidRPr="00EA5DB3" w:rsidRDefault="00EA5DB3" w:rsidP="00EA5DB3">
      <w:pPr>
        <w:numPr>
          <w:ilvl w:val="3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Zabezpieczona kwota zostanie wykorzystana na potrzeby pokrycia strat Zamawiającego</w:t>
      </w:r>
      <w:r w:rsidRPr="00EA5DB3">
        <w:rPr>
          <w:rFonts w:ascii="Arial" w:hAnsi="Arial" w:cs="Arial"/>
          <w:color w:val="auto"/>
          <w:sz w:val="20"/>
          <w:szCs w:val="20"/>
        </w:rPr>
        <w:t>, w przypadku gdy Wykonawca:</w:t>
      </w:r>
    </w:p>
    <w:p w14:paraId="4B867044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wykonał przedmiotu umowy w terminie wynikającym z umowy,</w:t>
      </w:r>
    </w:p>
    <w:p w14:paraId="7F8DBA2A" w14:textId="77777777" w:rsid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wykonał przedmiot umowy objęte umową z nienależytą starannością,</w:t>
      </w:r>
    </w:p>
    <w:p w14:paraId="7B2BD8D0" w14:textId="77777777" w:rsidR="00EA5DB3" w:rsidRPr="00EA5DB3" w:rsidRDefault="00EA5DB3" w:rsidP="00EA5DB3">
      <w:pPr>
        <w:numPr>
          <w:ilvl w:val="0"/>
          <w:numId w:val="39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A5DB3">
        <w:rPr>
          <w:rFonts w:ascii="Arial" w:hAnsi="Arial" w:cs="Arial"/>
          <w:color w:val="auto"/>
          <w:sz w:val="20"/>
          <w:szCs w:val="20"/>
        </w:rPr>
        <w:t>nie usunął stwierdzonych wad i usterek przedmiotu zamówienia w okresie rękojmi.</w:t>
      </w:r>
    </w:p>
    <w:p w14:paraId="5C2991A1" w14:textId="77777777" w:rsidR="002C6A73" w:rsidRPr="002C6A73" w:rsidRDefault="002C6A73" w:rsidP="002C6A73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1C4C73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351C9C1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259D2740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18F7969F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348FE3EA" w14:textId="77777777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0F276140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74CA9489" w14:textId="77777777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1AB14621" w14:textId="77777777" w:rsidR="00C05D61" w:rsidRPr="007968F2" w:rsidRDefault="00C05D61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7968F2">
        <w:rPr>
          <w:rFonts w:ascii="Arial" w:hAnsi="Arial" w:cs="Arial"/>
          <w:color w:val="auto"/>
          <w:sz w:val="20"/>
          <w:szCs w:val="20"/>
        </w:rPr>
        <w:t xml:space="preserve">z tytułu braku zapłaty lub </w:t>
      </w:r>
      <w:r w:rsidR="00335CCA" w:rsidRPr="007968F2">
        <w:rPr>
          <w:rFonts w:ascii="Arial" w:hAnsi="Arial" w:cs="Arial"/>
          <w:color w:val="auto"/>
          <w:sz w:val="20"/>
          <w:szCs w:val="20"/>
        </w:rPr>
        <w:t>zwłoki w</w:t>
      </w:r>
      <w:r w:rsidRPr="007968F2">
        <w:rPr>
          <w:rFonts w:ascii="Arial" w:hAnsi="Arial" w:cs="Arial"/>
          <w:color w:val="auto"/>
          <w:sz w:val="20"/>
          <w:szCs w:val="20"/>
        </w:rPr>
        <w:t xml:space="preserve"> zapła</w:t>
      </w:r>
      <w:r w:rsidR="00335CCA" w:rsidRPr="007968F2">
        <w:rPr>
          <w:rFonts w:ascii="Arial" w:hAnsi="Arial" w:cs="Arial"/>
          <w:color w:val="auto"/>
          <w:sz w:val="20"/>
          <w:szCs w:val="20"/>
        </w:rPr>
        <w:t>cie</w:t>
      </w:r>
      <w:r w:rsidRPr="007968F2">
        <w:rPr>
          <w:rFonts w:ascii="Arial" w:hAnsi="Arial" w:cs="Arial"/>
          <w:color w:val="auto"/>
          <w:sz w:val="20"/>
          <w:szCs w:val="20"/>
        </w:rPr>
        <w:t xml:space="preserve"> wynagrodzenia należnego podwykonawcom z tytułu zmiany wysokości wynagrodzenia, o której mowa w art. 439 ust. 5</w:t>
      </w:r>
      <w:r w:rsidR="003629B7" w:rsidRPr="007968F2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3629B7" w:rsidRPr="007968F2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3629B7" w:rsidRPr="007968F2">
        <w:rPr>
          <w:rFonts w:ascii="Arial" w:hAnsi="Arial" w:cs="Arial"/>
          <w:color w:val="auto"/>
          <w:sz w:val="20"/>
          <w:szCs w:val="20"/>
        </w:rPr>
        <w:t xml:space="preserve"> </w:t>
      </w:r>
      <w:r w:rsidR="003629B7" w:rsidRPr="007968F2">
        <w:rPr>
          <w:rFonts w:ascii="Arial" w:hAnsi="Arial" w:cs="Arial"/>
          <w:bCs/>
          <w:color w:val="auto"/>
          <w:sz w:val="20"/>
          <w:szCs w:val="20"/>
        </w:rPr>
        <w:t>w wysokości 0,1% wynagrodzenia umownego brutto określonego w umowie z 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1DDC2B4B" w14:textId="77777777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2275A4C7" w14:textId="77777777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0A6020">
        <w:rPr>
          <w:rFonts w:ascii="Arial" w:hAnsi="Arial" w:cs="Arial"/>
          <w:color w:val="auto"/>
          <w:sz w:val="20"/>
          <w:szCs w:val="20"/>
        </w:rPr>
        <w:t>.000,00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</w:p>
    <w:p w14:paraId="163F398B" w14:textId="7F0DBD58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172DDE">
        <w:rPr>
          <w:rFonts w:ascii="Arial" w:hAnsi="Arial" w:cs="Arial"/>
          <w:color w:val="auto"/>
          <w:sz w:val="20"/>
          <w:szCs w:val="20"/>
        </w:rPr>
        <w:t>13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500,00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lastRenderedPageBreak/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o pracę osób wykonujących wskazane w § 2 ust. 2 pkt </w:t>
      </w:r>
      <w:r w:rsidR="00172DDE">
        <w:rPr>
          <w:rFonts w:ascii="Arial" w:hAnsi="Arial" w:cs="Arial"/>
          <w:color w:val="auto"/>
          <w:sz w:val="20"/>
          <w:szCs w:val="20"/>
        </w:rPr>
        <w:t>13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umowy czynności.</w:t>
      </w:r>
    </w:p>
    <w:p w14:paraId="128F3568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1B009B32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014E7A6D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3ABB4FFC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3EF84CB7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9</w:t>
      </w:r>
    </w:p>
    <w:p w14:paraId="56A3E97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93F492C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3BE714DF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2B187A77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651EFDB2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70F78707" w14:textId="77777777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color w:val="auto"/>
          <w:sz w:val="20"/>
          <w:szCs w:val="20"/>
        </w:rPr>
        <w:t>10</w:t>
      </w:r>
    </w:p>
    <w:p w14:paraId="630410ED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2E0A37D4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521B67E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 licząc od daty odbioru końcowego robót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006CFC0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 czas naprawy.</w:t>
      </w:r>
    </w:p>
    <w:p w14:paraId="700E6C57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745F3BD7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0487A49D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2C2D81A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67E938B5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9315ABB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572B61C" w14:textId="77777777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color w:val="auto"/>
          <w:sz w:val="20"/>
          <w:szCs w:val="20"/>
        </w:rPr>
        <w:t>1</w:t>
      </w:r>
    </w:p>
    <w:p w14:paraId="4CC14BE1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2E88CC62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511596AE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44426B33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43176323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734306D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6D6B1B42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41019E3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761EE1AA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19C4407B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18EA5CC4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5536A2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71F599E0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761D1BEF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55C59FE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19933E8D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wynagrodzenia wynikającego z umowy o podwykonawstwo, nie może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40D36976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Suma wynagrodzeń dla podwykonawców i dalszych podwykonawców 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większa niż 90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wynagrodzenia dla Wykonawcy; </w:t>
      </w:r>
    </w:p>
    <w:p w14:paraId="09819D3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4C7966E1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686C910A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28051B8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66FDDD49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wykonania przedmiotu umowy dla podwykonawcy i odpowiednio dla dalszego podwykonawcy nie może być późniejszy niż termin zakończenia przedmiotu umowy określony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 pomiędzy Zamawiającym a Wykonawcą;</w:t>
      </w:r>
    </w:p>
    <w:p w14:paraId="341F3228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2BD3ECF1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C35AD2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faktury, w umowach musi znaleźć się postanowienie, że na skutek zatrzymania dochodzi do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odnowienia i wygasa roszczenie o zapłatę wynagrodzenia w części zatrzymanej, a powstaje roszczenie o zapłatę kwoty zabezpieczenia;</w:t>
      </w:r>
    </w:p>
    <w:p w14:paraId="32413FB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0C36E58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wynikające z umowy o podwykonawstwo nie może być wygórowane, tj.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szczególności wynagrodzenie dla podwykonawcy (i odpowiednio dalszego podwykonawcy) nie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może być wyższe o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od wynagrodzenia za tę część prac jaka odpowiednio należy się Wykonawcy zgodnie z umową (w tym celu wysokość wynagrodzenia dla Wykonawcy za tę część prac może być ustalona przez Zamawiającego bądź na podstawie czynników cenotwórczych 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B36D9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których mowa 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§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10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</w:t>
      </w:r>
      <w:r w:rsidR="00EE4A1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9 pkt 2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umowy, bądź w inny uzasadniony sposób);</w:t>
      </w:r>
    </w:p>
    <w:p w14:paraId="3110BB98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69F9959A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26ED178E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0AD578F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4504F2E6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Wykonawca, w terminach co 3 tygodnie od zawarcia umowy, zobowiązany jest do prze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dkładania raportu Zamawiającemu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zawierającego informację czy Wykonawca zawarł lub zamierza zawrzeć umowę z podwykonawcą/podwykonawcami i czy podwykonawca/podwykonawcy zawarł/zawarli lub zamierzają zawrzeć umowę  z dalszym podwykonawcą.</w:t>
      </w:r>
    </w:p>
    <w:p w14:paraId="69E73566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Obowiązek, o którym mowa w ust. 12 dotyczy umów o podwykonawstwo o wartości równej lub większej niż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5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% wartości niniejszej umowy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5C6030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465472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1.</w:t>
      </w:r>
    </w:p>
    <w:p w14:paraId="65F86DB5" w14:textId="77777777" w:rsidR="00337FE3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Raport powinien zawierać co najmniej:</w:t>
      </w:r>
    </w:p>
    <w:p w14:paraId="0695A8ED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datę zawarcia lub przewidywaną datę zawarcia umowy,</w:t>
      </w:r>
    </w:p>
    <w:p w14:paraId="367E3C5A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dane stron umowy,</w:t>
      </w:r>
    </w:p>
    <w:p w14:paraId="23DE21A3" w14:textId="77777777" w:rsidR="00885376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umowy,</w:t>
      </w:r>
    </w:p>
    <w:p w14:paraId="1BBD34FF" w14:textId="77777777" w:rsidR="00337FE3" w:rsidRPr="00580F9A" w:rsidRDefault="00337FE3" w:rsidP="009E6926">
      <w:pPr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informację dotyczącą wynagrodzenia w tym jego wysokości (netto i brutto)</w:t>
      </w:r>
      <w:r w:rsid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</w:p>
    <w:p w14:paraId="44A6D8C1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 poza uzyskanymi z raportów oraz wszelkich niezbędnych oświadczeń, dokumentów pozwalających ustalić zasadność lub wysokość ewentualnych roszczeń podwykonawców lub dalszych podwykonawców,</w:t>
      </w:r>
      <w:r w:rsidR="0015133A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umów, protokołów odbioru, potwierdzeń zapłaty, korespondencji itp.</w:t>
      </w:r>
    </w:p>
    <w:p w14:paraId="4FD62DD8" w14:textId="77777777" w:rsidR="00A87D8D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Przedłożenie raportu nie zwalnia Wykonawcy, podwykonawcy lub dalszego podwykonawcy </w:t>
      </w:r>
      <w:r w:rsidR="00F8008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żadnego z obowiązków wynikających z umowy lub przepisów prawa.   Przedłożenie raportu nie zwalnia w szczególności z obowiązku przedłożenia 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projektów umów o podwykonawstwo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poświadczonych za zgodność z oryginałem kopii umów o podwykonawstwo. </w:t>
      </w:r>
    </w:p>
    <w:p w14:paraId="66A9871E" w14:textId="77777777" w:rsidR="00A87D8D" w:rsidRPr="00A87D8D" w:rsidRDefault="00A87D8D" w:rsidP="00E85343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ab/>
        <w:t>Wykonawca, którego wynagrodzenie zostało zmienione zgodnie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art. 439</w:t>
      </w: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ust. 1-3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ustawy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Pzp</w:t>
      </w:r>
      <w:proofErr w:type="spellEnd"/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0B166F6" w14:textId="77777777" w:rsidR="00A87D8D" w:rsidRDefault="00A87D8D" w:rsidP="009E692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przedmiotem umowy są roboty budowlane lub usługi;</w:t>
      </w:r>
    </w:p>
    <w:p w14:paraId="00C7B5C6" w14:textId="77777777" w:rsidR="00561D38" w:rsidRPr="00967106" w:rsidRDefault="00A87D8D" w:rsidP="00967106">
      <w:pPr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okres obowiązywania umowy przekracza 12 miesięcy.</w:t>
      </w:r>
      <w:r w:rsidR="00337FE3" w:rsidRPr="00A87D8D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</w:p>
    <w:p w14:paraId="08952E92" w14:textId="77777777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5536A2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5E284F0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4B6BFF5E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09309012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713AAA1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38859CC9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>realizacji usług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78DC8AA1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3FBF4ADC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107200">
        <w:rPr>
          <w:rFonts w:ascii="Arial" w:hAnsi="Arial" w:cs="Arial"/>
          <w:color w:val="auto"/>
          <w:sz w:val="20"/>
          <w:szCs w:val="20"/>
        </w:rPr>
        <w:t>10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8A7A3E1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4246ACEE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C64F729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386AAB6C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122 ustawy </w:t>
      </w:r>
      <w:proofErr w:type="spellStart"/>
      <w:r w:rsidR="00983A2B" w:rsidRPr="00580F9A">
        <w:rPr>
          <w:rFonts w:ascii="Arial" w:hAnsi="Arial" w:cs="Arial"/>
          <w:color w:val="auto"/>
          <w:sz w:val="20"/>
          <w:szCs w:val="20"/>
        </w:rPr>
        <w:t>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</w:t>
      </w:r>
      <w:proofErr w:type="spellEnd"/>
      <w:r w:rsidR="005D3F03" w:rsidRPr="00580F9A">
        <w:rPr>
          <w:rFonts w:ascii="Arial" w:hAnsi="Arial" w:cs="Arial"/>
          <w:color w:val="auto"/>
          <w:sz w:val="20"/>
          <w:szCs w:val="20"/>
        </w:rPr>
        <w:t>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6F3F2BAB" w14:textId="77777777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657B2C5D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>realizacji usług.</w:t>
      </w:r>
    </w:p>
    <w:p w14:paraId="4161E5B2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63B5A572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4A98E0B4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5536A2">
        <w:rPr>
          <w:rFonts w:ascii="Arial" w:hAnsi="Arial" w:cs="Arial"/>
          <w:color w:val="auto"/>
          <w:sz w:val="20"/>
          <w:szCs w:val="20"/>
        </w:rPr>
        <w:t>2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65F12E82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70921840" w14:textId="77777777" w:rsidR="00DB2491" w:rsidRPr="00580F9A" w:rsidRDefault="00571593" w:rsidP="009E6926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przypadkach</w:t>
      </w:r>
      <w:r w:rsidR="00DB2491" w:rsidRPr="00580F9A">
        <w:rPr>
          <w:rFonts w:ascii="Arial" w:hAnsi="Arial" w:cs="Arial"/>
          <w:color w:val="auto"/>
          <w:sz w:val="20"/>
          <w:szCs w:val="20"/>
        </w:rPr>
        <w:t>:</w:t>
      </w:r>
    </w:p>
    <w:p w14:paraId="2FB94616" w14:textId="77777777" w:rsidR="00DB2491" w:rsidRPr="00580F9A" w:rsidRDefault="00DB2491" w:rsidP="009E6926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left" w:pos="567"/>
        </w:tabs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jeżeli zmiana umowy dotyczyć będzie zmiany wysokości wynagrodzenia dla Wykonawcy, </w:t>
      </w:r>
      <w:r w:rsidR="00A4025B" w:rsidRPr="00580F9A">
        <w:rPr>
          <w:rFonts w:ascii="Arial" w:hAnsi="Arial" w:cs="Arial"/>
          <w:iCs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iCs/>
          <w:color w:val="auto"/>
          <w:sz w:val="20"/>
          <w:szCs w:val="20"/>
        </w:rPr>
        <w:t xml:space="preserve">a spowodowana będzie : </w:t>
      </w:r>
    </w:p>
    <w:p w14:paraId="71C29720" w14:textId="77777777" w:rsidR="009F7E81" w:rsidRPr="00580F9A" w:rsidRDefault="00FD3BCD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FD3BCD">
        <w:rPr>
          <w:rFonts w:ascii="Arial" w:hAnsi="Arial" w:cs="Arial"/>
          <w:iCs/>
          <w:color w:val="auto"/>
          <w:sz w:val="20"/>
          <w:szCs w:val="20"/>
        </w:rPr>
        <w:t>zmian</w:t>
      </w:r>
      <w:r>
        <w:rPr>
          <w:rFonts w:ascii="Arial" w:hAnsi="Arial" w:cs="Arial"/>
          <w:iCs/>
          <w:color w:val="auto"/>
          <w:sz w:val="20"/>
          <w:szCs w:val="20"/>
        </w:rPr>
        <w:t>ą</w:t>
      </w:r>
      <w:r w:rsidRPr="00FD3BCD">
        <w:rPr>
          <w:rFonts w:ascii="Arial" w:hAnsi="Arial" w:cs="Arial"/>
          <w:iCs/>
          <w:color w:val="auto"/>
          <w:sz w:val="20"/>
          <w:szCs w:val="20"/>
        </w:rPr>
        <w:t xml:space="preserve"> cen materiałów lub kosztów związanych z realizacją zamówienia</w:t>
      </w:r>
      <w:r w:rsidR="00F42DAB">
        <w:rPr>
          <w:rFonts w:ascii="Arial" w:hAnsi="Arial" w:cs="Arial"/>
          <w:iCs/>
          <w:color w:val="auto"/>
          <w:sz w:val="20"/>
          <w:szCs w:val="20"/>
        </w:rPr>
        <w:t xml:space="preserve"> przekraczającą 10% wartości początkowej. Jako początkowy termin ustalenia zmiany wynagrodzenia określa się dzień, na który przypadał termin składania ofert w postępowaniu, na podstawie którego została zawarta niniejsza umowa</w:t>
      </w:r>
      <w:r w:rsidR="00B923A6">
        <w:rPr>
          <w:rFonts w:ascii="Arial" w:hAnsi="Arial" w:cs="Arial"/>
          <w:iCs/>
          <w:color w:val="auto"/>
          <w:sz w:val="20"/>
          <w:szCs w:val="20"/>
        </w:rPr>
        <w:t>. Maksymalna wartość zmian nie może przekroczyć 15% wartości początkowej</w:t>
      </w:r>
      <w:r w:rsidR="00430D57">
        <w:rPr>
          <w:rFonts w:ascii="Arial" w:hAnsi="Arial" w:cs="Arial"/>
          <w:iCs/>
          <w:color w:val="auto"/>
          <w:sz w:val="20"/>
          <w:szCs w:val="20"/>
        </w:rPr>
        <w:t>;</w:t>
      </w:r>
    </w:p>
    <w:p w14:paraId="512C9E5C" w14:textId="77777777" w:rsidR="00430D57" w:rsidRDefault="005F482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lastRenderedPageBreak/>
        <w:t>z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>mian</w:t>
      </w:r>
      <w:r w:rsidRPr="00580F9A">
        <w:rPr>
          <w:rFonts w:ascii="Arial" w:hAnsi="Arial" w:cs="Arial"/>
          <w:iCs/>
          <w:color w:val="auto"/>
          <w:sz w:val="20"/>
          <w:szCs w:val="20"/>
        </w:rPr>
        <w:t>ą</w:t>
      </w:r>
      <w:r w:rsidR="00C7643F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430D57" w:rsidRPr="00430D57">
        <w:rPr>
          <w:rFonts w:ascii="Arial" w:hAnsi="Arial" w:cs="Arial"/>
          <w:iCs/>
          <w:color w:val="auto"/>
          <w:sz w:val="20"/>
          <w:szCs w:val="20"/>
        </w:rPr>
        <w:t>stawki podatku od towarów i usług oraz podatku akcyzowego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;  </w:t>
      </w:r>
    </w:p>
    <w:p w14:paraId="37C41374" w14:textId="77777777" w:rsidR="00430D57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Pr="00430D57">
        <w:rPr>
          <w:rFonts w:ascii="Arial" w:hAnsi="Arial" w:cs="Arial"/>
          <w:iCs/>
          <w:color w:val="auto"/>
          <w:sz w:val="20"/>
          <w:szCs w:val="20"/>
        </w:rPr>
        <w:t>wysokości minimalnego wynagrodzenia za pracę albo wysokości minimalnej stawki godzinowej, ustalonych na podstawie ustawy z dnia 10 października 2002 r. o minimalnym wynagrodzeniu za pracę</w:t>
      </w:r>
      <w:r>
        <w:rPr>
          <w:rFonts w:ascii="Arial" w:hAnsi="Arial" w:cs="Arial"/>
          <w:iCs/>
          <w:color w:val="auto"/>
          <w:sz w:val="20"/>
          <w:szCs w:val="20"/>
        </w:rPr>
        <w:t>;</w:t>
      </w:r>
    </w:p>
    <w:p w14:paraId="782B0F6C" w14:textId="77777777" w:rsidR="001970C1" w:rsidRDefault="00430D57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zmianą </w:t>
      </w:r>
      <w:r w:rsidR="001970C1" w:rsidRPr="001970C1">
        <w:rPr>
          <w:rFonts w:ascii="Arial" w:hAnsi="Arial" w:cs="Arial"/>
          <w:iCs/>
          <w:color w:val="auto"/>
          <w:sz w:val="20"/>
          <w:szCs w:val="20"/>
        </w:rPr>
        <w:t>zasad podlegania ubezpieczeniom społecznym lub ubezpieczeniu zdrowotnemu lub wysokości stawki składki na ubezpieczenia społeczne lub ubezpieczenie zdrowotne</w:t>
      </w:r>
    </w:p>
    <w:p w14:paraId="26FB8A9D" w14:textId="77777777" w:rsidR="00430D57" w:rsidRPr="00197F65" w:rsidRDefault="001970C1" w:rsidP="009E6926">
      <w:pPr>
        <w:pStyle w:val="Nagwek"/>
        <w:numPr>
          <w:ilvl w:val="0"/>
          <w:numId w:val="18"/>
        </w:numPr>
        <w:tabs>
          <w:tab w:val="clear" w:pos="4536"/>
          <w:tab w:val="clear" w:pos="9072"/>
          <w:tab w:val="left" w:pos="851"/>
        </w:tabs>
        <w:spacing w:line="360" w:lineRule="auto"/>
        <w:ind w:left="851" w:hanging="284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zmianą</w:t>
      </w:r>
      <w:r w:rsidR="00DB2491" w:rsidRPr="00580F9A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1970C1">
        <w:rPr>
          <w:rFonts w:ascii="Arial" w:hAnsi="Arial" w:cs="Arial"/>
          <w:iCs/>
          <w:color w:val="auto"/>
          <w:sz w:val="20"/>
          <w:szCs w:val="20"/>
        </w:rPr>
        <w:t>zasad gromadzenia i wysokości wpłat do pracowniczych planów kapitałowych, o których mowa w ustawie z dnia 4 października 2018 r. o pracowniczych planach kapitałowych (Dz. U. poz. 2215 oraz z 2019 r. poz. 1074 i 1572)</w:t>
      </w:r>
    </w:p>
    <w:p w14:paraId="1B015D90" w14:textId="77777777" w:rsidR="009F7E81" w:rsidRPr="00580F9A" w:rsidRDefault="00DB2491" w:rsidP="009E6926">
      <w:pPr>
        <w:numPr>
          <w:ilvl w:val="0"/>
          <w:numId w:val="17"/>
        </w:numPr>
        <w:suppressAutoHyphens/>
        <w:spacing w:line="360" w:lineRule="auto"/>
        <w:ind w:left="567" w:hanging="283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580F9A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1E6F1D74" w14:textId="77777777" w:rsidR="00D34AD2" w:rsidRPr="00D34AD2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inicjacji zmian opisanych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b – e, Wykonawca zobowiązany będzie do wykazania Zamawiającemu, iż opisane podstawy zmiany mają wpływ na koszty wykonywania zamówienia. Wykazanie polegać będzie na przedstawieniu Zamawiającemu dokładnych wyliczeń kosztów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 xml:space="preserve"> wraz z dowodami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oraz zaproponowani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u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na ich podstawie no</w:t>
      </w:r>
      <w:r w:rsidR="00A87D8D">
        <w:rPr>
          <w:rFonts w:ascii="Arial" w:eastAsia="Arial Unicode MS" w:hAnsi="Arial" w:cs="Arial"/>
          <w:color w:val="auto"/>
          <w:sz w:val="20"/>
          <w:szCs w:val="20"/>
        </w:rPr>
        <w:t>wej wartości umowy.</w:t>
      </w:r>
    </w:p>
    <w:p w14:paraId="27C9B133" w14:textId="77777777" w:rsidR="00D34AD2" w:rsidRPr="00D34AD2" w:rsidRDefault="00B923A6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W przypadku zmiany określonej w ust. </w:t>
      </w:r>
      <w:r w:rsidR="005B2630">
        <w:rPr>
          <w:rFonts w:ascii="Arial" w:eastAsia="Arial Unicode MS" w:hAnsi="Arial" w:cs="Arial"/>
          <w:color w:val="auto"/>
          <w:sz w:val="20"/>
          <w:szCs w:val="20"/>
        </w:rPr>
        <w:t>7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pkt 1 lit. a, inicjujący zmianę zobowiązany będzie do </w:t>
      </w:r>
      <w:r w:rsidR="009307BB">
        <w:rPr>
          <w:rFonts w:ascii="Arial" w:eastAsia="Arial Unicode MS" w:hAnsi="Arial" w:cs="Arial"/>
          <w:color w:val="auto"/>
          <w:sz w:val="20"/>
          <w:szCs w:val="20"/>
        </w:rPr>
        <w:t>określenia wpływu zmiany na cenę materiałów lub kosztów zamówienia przy pomocy dokładnych obliczeń oraz przedłożenia materiałów dowodowych potwierdzających ten wpływ. Po</w:t>
      </w:r>
      <w:r w:rsidR="00197F65">
        <w:rPr>
          <w:rFonts w:ascii="Arial" w:eastAsia="Arial Unicode MS" w:hAnsi="Arial" w:cs="Arial"/>
          <w:color w:val="auto"/>
          <w:sz w:val="20"/>
          <w:szCs w:val="20"/>
        </w:rPr>
        <w:t>dstawą zmiany wynagrodzenia będzie przedstawienie wskaźnika zmiany ceny materiału lub usługi, który będzie wiarygodnie potwierdzać zmianę.</w:t>
      </w:r>
    </w:p>
    <w:p w14:paraId="7F9FC4FE" w14:textId="4A441708" w:rsidR="00D34AD2" w:rsidRPr="00580F9A" w:rsidRDefault="007968F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 </w:t>
      </w:r>
      <w:r w:rsidR="00D34AD2"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2F5551D0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7730770B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1953E313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423B0FF7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6EE05C2E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13</w:t>
      </w:r>
    </w:p>
    <w:p w14:paraId="303D4EAB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3AFFB6A3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7F0E4DBF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C9A3F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107200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6CA496F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013F95B0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</w:t>
      </w: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4B948D44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1CFC45DE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1511192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4BFF069F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11ADDB9B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5CE749E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6C5CAAC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3A10D59C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32DF8D6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45415A93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773C9A48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6AF7B709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3C35D047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7783FEF1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1DD86AE0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288C8A7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CA7F" w14:textId="77777777" w:rsidR="00365392" w:rsidRDefault="00365392">
      <w:r>
        <w:separator/>
      </w:r>
    </w:p>
  </w:endnote>
  <w:endnote w:type="continuationSeparator" w:id="0">
    <w:p w14:paraId="29DF31A8" w14:textId="77777777" w:rsidR="00365392" w:rsidRDefault="003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1B6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225A" w14:textId="77777777" w:rsidR="00365392" w:rsidRDefault="00365392">
      <w:r>
        <w:separator/>
      </w:r>
    </w:p>
  </w:footnote>
  <w:footnote w:type="continuationSeparator" w:id="0">
    <w:p w14:paraId="061E7B2A" w14:textId="77777777" w:rsidR="00365392" w:rsidRDefault="0036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B16A" w14:textId="166AC29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20342A">
      <w:rPr>
        <w:rFonts w:ascii="Arial" w:hAnsi="Arial"/>
        <w:b/>
        <w:sz w:val="20"/>
        <w:szCs w:val="20"/>
      </w:rPr>
      <w:t>5</w:t>
    </w:r>
    <w:r>
      <w:rPr>
        <w:rFonts w:ascii="Arial" w:hAnsi="Arial"/>
        <w:b/>
        <w:sz w:val="20"/>
        <w:szCs w:val="20"/>
      </w:rPr>
      <w:t>.2021</w:t>
    </w:r>
  </w:p>
  <w:p w14:paraId="5C6321EC" w14:textId="77777777" w:rsidR="009741A7" w:rsidRDefault="009741A7">
    <w:pPr>
      <w:pStyle w:val="Nagwek"/>
      <w:rPr>
        <w:noProof/>
        <w:lang w:eastAsia="pl-PL"/>
      </w:rPr>
    </w:pPr>
  </w:p>
  <w:p w14:paraId="62194295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0454F"/>
    <w:multiLevelType w:val="hybridMultilevel"/>
    <w:tmpl w:val="46A6DF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122E0C"/>
    <w:multiLevelType w:val="hybridMultilevel"/>
    <w:tmpl w:val="9F8A1A9E"/>
    <w:lvl w:ilvl="0" w:tplc="20EC4D2E">
      <w:start w:val="1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33"/>
  </w:num>
  <w:num w:numId="5">
    <w:abstractNumId w:val="28"/>
  </w:num>
  <w:num w:numId="6">
    <w:abstractNumId w:val="8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3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2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1"/>
  </w:num>
  <w:num w:numId="38">
    <w:abstractNumId w:val="9"/>
  </w:num>
  <w:num w:numId="39">
    <w:abstractNumId w:val="3"/>
  </w:num>
  <w:num w:numId="40">
    <w:abstractNumId w:val="1"/>
  </w:num>
  <w:num w:numId="4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72DDE"/>
    <w:rsid w:val="00186222"/>
    <w:rsid w:val="00191E76"/>
    <w:rsid w:val="00196CB8"/>
    <w:rsid w:val="001970C1"/>
    <w:rsid w:val="00197F65"/>
    <w:rsid w:val="001A4006"/>
    <w:rsid w:val="001B0077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342A"/>
    <w:rsid w:val="00203C78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0659"/>
    <w:rsid w:val="002A6F1A"/>
    <w:rsid w:val="002B186D"/>
    <w:rsid w:val="002C05F5"/>
    <w:rsid w:val="002C6A73"/>
    <w:rsid w:val="002C7D12"/>
    <w:rsid w:val="002D597D"/>
    <w:rsid w:val="002D6C90"/>
    <w:rsid w:val="002E28EB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65392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656B"/>
    <w:rsid w:val="0063696F"/>
    <w:rsid w:val="00643C66"/>
    <w:rsid w:val="00643EC2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2D77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968F2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CC9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501C"/>
    <w:rsid w:val="008057BE"/>
    <w:rsid w:val="008067E7"/>
    <w:rsid w:val="00812BFF"/>
    <w:rsid w:val="00813C7A"/>
    <w:rsid w:val="008212E8"/>
    <w:rsid w:val="00822552"/>
    <w:rsid w:val="00830901"/>
    <w:rsid w:val="008337BF"/>
    <w:rsid w:val="0083400B"/>
    <w:rsid w:val="00841D27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11102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38F8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648E"/>
    <w:rsid w:val="00B36D97"/>
    <w:rsid w:val="00B36E46"/>
    <w:rsid w:val="00B42A5F"/>
    <w:rsid w:val="00B43D8E"/>
    <w:rsid w:val="00B44C4F"/>
    <w:rsid w:val="00B519BB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F01AD"/>
    <w:rsid w:val="00BF1849"/>
    <w:rsid w:val="00BF2B6D"/>
    <w:rsid w:val="00BF5551"/>
    <w:rsid w:val="00BF6244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67F2F"/>
    <w:rsid w:val="00E76615"/>
    <w:rsid w:val="00E77A14"/>
    <w:rsid w:val="00E814C7"/>
    <w:rsid w:val="00E82B62"/>
    <w:rsid w:val="00E832B4"/>
    <w:rsid w:val="00E85343"/>
    <w:rsid w:val="00E85671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5A8E"/>
    <w:rsid w:val="00EC21CD"/>
    <w:rsid w:val="00EC58AC"/>
    <w:rsid w:val="00EC606A"/>
    <w:rsid w:val="00ED2D1D"/>
    <w:rsid w:val="00ED4B51"/>
    <w:rsid w:val="00ED4BE0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99EBD"/>
  <w15:docId w15:val="{45A8EE1D-29C0-4C2D-82A2-5F3DFD2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CC9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18</Pages>
  <Words>6353</Words>
  <Characters>38123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7</cp:revision>
  <cp:lastPrinted>2021-03-18T10:14:00Z</cp:lastPrinted>
  <dcterms:created xsi:type="dcterms:W3CDTF">2021-05-19T08:19:00Z</dcterms:created>
  <dcterms:modified xsi:type="dcterms:W3CDTF">2021-06-22T06:50:00Z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